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89F60" w14:textId="5A73869F" w:rsidR="00B46E62" w:rsidRPr="00F6302A" w:rsidRDefault="00B46E62" w:rsidP="00B46E6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sidR="00960F7D">
        <w:rPr>
          <w:lang w:val="en-US"/>
        </w:rPr>
        <w:t xml:space="preserve">Meeting </w:t>
      </w:r>
      <w:r w:rsidR="00A558EB">
        <w:rPr>
          <w:lang w:val="en-US"/>
        </w:rPr>
        <w:t>NR</w:t>
      </w:r>
      <w:r w:rsidR="00960F7D">
        <w:rPr>
          <w:lang w:val="en-US"/>
        </w:rPr>
        <w:t>#</w:t>
      </w:r>
      <w:r w:rsidR="00A558EB">
        <w:rPr>
          <w:lang w:val="en-US"/>
        </w:rPr>
        <w:t>3</w:t>
      </w:r>
      <w:r w:rsidRPr="00F6302A">
        <w:rPr>
          <w:lang w:val="en-US"/>
        </w:rPr>
        <w:tab/>
      </w:r>
      <w:r>
        <w:rPr>
          <w:sz w:val="32"/>
          <w:szCs w:val="32"/>
          <w:lang w:val="en-US"/>
        </w:rPr>
        <w:t>R4</w:t>
      </w:r>
      <w:r w:rsidRPr="00F6302A">
        <w:rPr>
          <w:sz w:val="32"/>
          <w:szCs w:val="32"/>
          <w:lang w:val="en-US"/>
        </w:rPr>
        <w:t>-</w:t>
      </w:r>
      <w:r w:rsidR="00DC2F9F">
        <w:rPr>
          <w:sz w:val="32"/>
          <w:szCs w:val="32"/>
          <w:lang w:val="en-US"/>
        </w:rPr>
        <w:t>170</w:t>
      </w:r>
      <w:r w:rsidR="00DC2F9F">
        <w:rPr>
          <w:sz w:val="32"/>
          <w:szCs w:val="32"/>
          <w:lang w:val="en-US"/>
        </w:rPr>
        <w:t>9844</w:t>
      </w:r>
      <w:bookmarkStart w:id="0" w:name="_GoBack"/>
      <w:bookmarkEnd w:id="0"/>
    </w:p>
    <w:p w14:paraId="1F770C4E" w14:textId="62BC651D" w:rsidR="00B46E62" w:rsidRPr="00F6302A" w:rsidRDefault="00A558EB" w:rsidP="00B46E62">
      <w:pPr>
        <w:pStyle w:val="3GPPHeader"/>
        <w:rPr>
          <w:lang w:val="en-US"/>
        </w:rPr>
      </w:pPr>
      <w:r>
        <w:rPr>
          <w:lang w:val="en-US"/>
        </w:rPr>
        <w:t>Nagoya, Japan, 18</w:t>
      </w:r>
      <w:r w:rsidRPr="00160DB7">
        <w:rPr>
          <w:vertAlign w:val="superscript"/>
          <w:lang w:val="en-US"/>
        </w:rPr>
        <w:t>th</w:t>
      </w:r>
      <w:r>
        <w:rPr>
          <w:lang w:val="en-US"/>
        </w:rPr>
        <w:t>-</w:t>
      </w:r>
      <w:r w:rsidR="00F51B32">
        <w:rPr>
          <w:lang w:val="en-US"/>
        </w:rPr>
        <w:t>21</w:t>
      </w:r>
      <w:r w:rsidR="003E46A9" w:rsidRPr="00FC677A">
        <w:rPr>
          <w:vertAlign w:val="superscript"/>
          <w:lang w:val="en-US"/>
        </w:rPr>
        <w:t>st</w:t>
      </w:r>
      <w:r w:rsidR="003E46A9">
        <w:rPr>
          <w:lang w:val="en-US"/>
        </w:rPr>
        <w:t xml:space="preserve"> </w:t>
      </w:r>
      <w:r>
        <w:rPr>
          <w:lang w:val="en-US"/>
        </w:rPr>
        <w:t>September</w:t>
      </w:r>
      <w:r w:rsidR="00960F7D" w:rsidRPr="00960F7D">
        <w:rPr>
          <w:lang w:val="en-US"/>
        </w:rPr>
        <w:t xml:space="preserve"> 2017</w:t>
      </w:r>
    </w:p>
    <w:p w14:paraId="351FCB6D"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1FCBEC31" w14:textId="0E0B23AD"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4B470C">
        <w:rPr>
          <w:sz w:val="22"/>
          <w:szCs w:val="22"/>
          <w:lang w:val="en-US"/>
        </w:rPr>
        <w:t>Proposals o</w:t>
      </w:r>
      <w:r w:rsidR="004B470C" w:rsidRPr="000976E3">
        <w:rPr>
          <w:sz w:val="22"/>
          <w:szCs w:val="22"/>
        </w:rPr>
        <w:t xml:space="preserve">n absolute level ACLR for mm-wave </w:t>
      </w:r>
      <w:r w:rsidR="00586377">
        <w:rPr>
          <w:sz w:val="22"/>
          <w:szCs w:val="22"/>
        </w:rPr>
        <w:t>NR base station</w:t>
      </w:r>
    </w:p>
    <w:p w14:paraId="6D30D43D" w14:textId="5C644BA2"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874931">
        <w:rPr>
          <w:sz w:val="22"/>
          <w:szCs w:val="22"/>
          <w:lang w:val="en-US"/>
        </w:rPr>
        <w:t>3.4.3.3.1</w:t>
      </w:r>
    </w:p>
    <w:p w14:paraId="054B0A18"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14:paraId="2ACEFDC8" w14:textId="77777777" w:rsidR="00E90E49" w:rsidRDefault="00E90E49" w:rsidP="00E90E49">
      <w:pPr>
        <w:pStyle w:val="Heading1"/>
        <w:rPr>
          <w:lang w:val="en-US"/>
        </w:rPr>
      </w:pPr>
      <w:r w:rsidRPr="00F6302A">
        <w:rPr>
          <w:lang w:val="en-US"/>
        </w:rPr>
        <w:t>Introduction</w:t>
      </w:r>
    </w:p>
    <w:p w14:paraId="4F64D7CD" w14:textId="4FB66C59" w:rsidR="00835328" w:rsidRDefault="00FD046E" w:rsidP="00854669">
      <w:pPr>
        <w:rPr>
          <w:lang w:val="en-US"/>
        </w:rPr>
      </w:pPr>
      <w:r w:rsidRPr="00FC2B73">
        <w:rPr>
          <w:sz w:val="22"/>
          <w:szCs w:val="22"/>
          <w:lang w:val="en-US"/>
        </w:rPr>
        <w:t xml:space="preserve">The discussion on </w:t>
      </w:r>
      <w:r>
        <w:rPr>
          <w:sz w:val="22"/>
          <w:szCs w:val="22"/>
          <w:lang w:val="en-US"/>
        </w:rPr>
        <w:t xml:space="preserve">mm-wave frequency band ACLR has been ongoing for some time in RAN4, and there is consensus on relative ACLR level. </w:t>
      </w:r>
      <w:r w:rsidR="000976E3">
        <w:rPr>
          <w:lang w:val="en-US"/>
        </w:rPr>
        <w:t>RAN4 has discussed the necessity for absolute levels for ACLR requirements in mmWave spectrum. In our previous contribution</w:t>
      </w:r>
      <w:r>
        <w:rPr>
          <w:lang w:val="en-US"/>
        </w:rPr>
        <w:fldChar w:fldCharType="begin"/>
      </w:r>
      <w:r>
        <w:rPr>
          <w:lang w:val="en-US"/>
        </w:rPr>
        <w:instrText xml:space="preserve"> REF _Ref492551837 \r \h </w:instrText>
      </w:r>
      <w:r>
        <w:rPr>
          <w:lang w:val="en-US"/>
        </w:rPr>
      </w:r>
      <w:r>
        <w:rPr>
          <w:lang w:val="en-US"/>
        </w:rPr>
        <w:fldChar w:fldCharType="separate"/>
      </w:r>
      <w:r>
        <w:rPr>
          <w:lang w:val="en-US"/>
        </w:rPr>
        <w:t>[1]</w:t>
      </w:r>
      <w:r>
        <w:rPr>
          <w:lang w:val="en-US"/>
        </w:rPr>
        <w:fldChar w:fldCharType="end"/>
      </w:r>
      <w:r w:rsidR="000976E3">
        <w:rPr>
          <w:lang w:val="en-US"/>
        </w:rPr>
        <w:t xml:space="preserve">, </w:t>
      </w:r>
      <w:r>
        <w:rPr>
          <w:sz w:val="22"/>
          <w:szCs w:val="22"/>
          <w:lang w:val="en-US"/>
        </w:rPr>
        <w:t>we elaborated on the mm-wave transmitter chain and describe in detail the contributions to transmitter noise floor and considerations needed before the absolute ACLR level is settled.</w:t>
      </w:r>
    </w:p>
    <w:p w14:paraId="61EAAAEF" w14:textId="3D657C5B" w:rsidR="00A94494" w:rsidRPr="00A94494" w:rsidRDefault="005910C7" w:rsidP="00A94494">
      <w:pPr>
        <w:rPr>
          <w:lang w:val="en-US"/>
        </w:rPr>
      </w:pPr>
      <w:r>
        <w:rPr>
          <w:lang w:val="en-US"/>
        </w:rPr>
        <w:t>In this contribution,</w:t>
      </w:r>
      <w:r w:rsidR="00C27860">
        <w:rPr>
          <w:lang w:val="en-US"/>
        </w:rPr>
        <w:t xml:space="preserve"> </w:t>
      </w:r>
      <w:r w:rsidR="00835328">
        <w:rPr>
          <w:lang w:val="en-US"/>
        </w:rPr>
        <w:t xml:space="preserve">we discuss further </w:t>
      </w:r>
      <w:r w:rsidR="00A343C0">
        <w:rPr>
          <w:lang w:val="en-US"/>
        </w:rPr>
        <w:t xml:space="preserve">considerations on </w:t>
      </w:r>
      <w:r w:rsidR="00835328">
        <w:rPr>
          <w:lang w:val="en-US"/>
        </w:rPr>
        <w:t xml:space="preserve">the importance of </w:t>
      </w:r>
      <w:r w:rsidR="004B470C">
        <w:rPr>
          <w:lang w:val="en-US"/>
        </w:rPr>
        <w:t>introducing absolute limits for mmWave NR BS ACLR levels and proposed a way forward on this.</w:t>
      </w:r>
      <w:r w:rsidR="00835328">
        <w:rPr>
          <w:lang w:val="en-US"/>
        </w:rPr>
        <w:t xml:space="preserve"> </w:t>
      </w:r>
      <w:r>
        <w:rPr>
          <w:lang w:val="en-US"/>
        </w:rPr>
        <w:t xml:space="preserve">  </w:t>
      </w:r>
    </w:p>
    <w:p w14:paraId="4287917B" w14:textId="4CBD627A" w:rsidR="00BE73C3" w:rsidRDefault="00BE73C3" w:rsidP="00703346">
      <w:pPr>
        <w:pStyle w:val="Heading1"/>
        <w:rPr>
          <w:lang w:val="en-US"/>
        </w:rPr>
      </w:pPr>
      <w:r>
        <w:rPr>
          <w:lang w:val="en-US"/>
        </w:rPr>
        <w:t>Acievable levels of TX leakage in mmWave</w:t>
      </w:r>
    </w:p>
    <w:p w14:paraId="7C13F282" w14:textId="09BC33DE" w:rsidR="00E05F90" w:rsidRPr="00F7221C" w:rsidRDefault="00854669" w:rsidP="00E05F90">
      <w:pPr>
        <w:rPr>
          <w:sz w:val="22"/>
          <w:szCs w:val="22"/>
        </w:rPr>
      </w:pPr>
      <w:r>
        <w:rPr>
          <w:lang w:val="en-US"/>
        </w:rPr>
        <w:t xml:space="preserve">We have provided detailed analysis on achievable levels in terms of TX leakage for mmWave BS. </w:t>
      </w:r>
      <w:r w:rsidR="00E05F90" w:rsidRPr="00F7221C">
        <w:rPr>
          <w:sz w:val="22"/>
          <w:szCs w:val="22"/>
        </w:rPr>
        <w:t>Consider the following simple example</w:t>
      </w:r>
      <w:r w:rsidR="00E05F90">
        <w:rPr>
          <w:sz w:val="22"/>
          <w:szCs w:val="22"/>
        </w:rPr>
        <w:t xml:space="preserve"> </w:t>
      </w:r>
      <w:r w:rsidR="00E05F90">
        <w:rPr>
          <w:sz w:val="22"/>
          <w:szCs w:val="22"/>
        </w:rPr>
        <w:fldChar w:fldCharType="begin"/>
      </w:r>
      <w:r w:rsidR="00E05F90">
        <w:rPr>
          <w:sz w:val="22"/>
          <w:szCs w:val="22"/>
        </w:rPr>
        <w:instrText xml:space="preserve"> REF _Ref492551837 \r \h </w:instrText>
      </w:r>
      <w:r w:rsidR="00E05F90">
        <w:rPr>
          <w:sz w:val="22"/>
          <w:szCs w:val="22"/>
        </w:rPr>
      </w:r>
      <w:r w:rsidR="00E05F90">
        <w:rPr>
          <w:sz w:val="22"/>
          <w:szCs w:val="22"/>
        </w:rPr>
        <w:fldChar w:fldCharType="separate"/>
      </w:r>
      <w:r w:rsidR="00E05F90">
        <w:rPr>
          <w:sz w:val="22"/>
          <w:szCs w:val="22"/>
        </w:rPr>
        <w:t>[1]</w:t>
      </w:r>
      <w:r w:rsidR="00E05F90">
        <w:rPr>
          <w:sz w:val="22"/>
          <w:szCs w:val="22"/>
        </w:rPr>
        <w:fldChar w:fldCharType="end"/>
      </w:r>
      <w:r w:rsidR="00E05F90" w:rsidRPr="00F7221C">
        <w:rPr>
          <w:sz w:val="22"/>
          <w:szCs w:val="22"/>
        </w:rPr>
        <w:t xml:space="preserve">: </w:t>
      </w:r>
      <w:r w:rsidR="00E05F90">
        <w:rPr>
          <w:sz w:val="22"/>
          <w:szCs w:val="22"/>
        </w:rPr>
        <w:t>Assume an 7 ENOB</w:t>
      </w:r>
      <w:r w:rsidR="00E05F90" w:rsidRPr="00F7221C">
        <w:rPr>
          <w:sz w:val="22"/>
          <w:szCs w:val="22"/>
        </w:rPr>
        <w:t xml:space="preserve"> DAC</w:t>
      </w:r>
      <w:r w:rsidR="00E05F90">
        <w:rPr>
          <w:sz w:val="22"/>
          <w:szCs w:val="22"/>
        </w:rPr>
        <w:t>,</w:t>
      </w:r>
      <w:r w:rsidR="00E05F90" w:rsidRPr="00F7221C">
        <w:rPr>
          <w:sz w:val="22"/>
          <w:szCs w:val="22"/>
        </w:rPr>
        <w:t xml:space="preserve"> which translates to r</w:t>
      </w:r>
      <w:r w:rsidR="00E05F90">
        <w:rPr>
          <w:sz w:val="22"/>
          <w:szCs w:val="22"/>
        </w:rPr>
        <w:t>oughly 44</w:t>
      </w:r>
      <w:r w:rsidR="00E05F90" w:rsidRPr="00F7221C">
        <w:rPr>
          <w:sz w:val="22"/>
          <w:szCs w:val="22"/>
        </w:rPr>
        <w:t xml:space="preserve">dB of </w:t>
      </w:r>
      <w:r w:rsidR="00E05F90">
        <w:rPr>
          <w:sz w:val="22"/>
          <w:szCs w:val="22"/>
        </w:rPr>
        <w:t>of maximum SNR due to quantization noise using the full Nyquist bandwidth</w:t>
      </w:r>
      <w:r w:rsidR="00E05F90" w:rsidRPr="00F7221C">
        <w:rPr>
          <w:sz w:val="22"/>
          <w:szCs w:val="22"/>
        </w:rPr>
        <w:t xml:space="preserve">. </w:t>
      </w:r>
      <w:r w:rsidR="00E05F90">
        <w:rPr>
          <w:sz w:val="22"/>
          <w:szCs w:val="22"/>
        </w:rPr>
        <w:t xml:space="preserve">With an RF signal bandwidth </w:t>
      </w:r>
      <m:oMath>
        <m:sSub>
          <m:sSubPr>
            <m:ctrlPr>
              <w:rPr>
                <w:rFonts w:ascii="Cambria Math" w:hAnsi="Cambria Math"/>
                <w:i/>
                <w:sz w:val="22"/>
                <w:szCs w:val="22"/>
              </w:rPr>
            </m:ctrlPr>
          </m:sSubPr>
          <m:e>
            <m:r>
              <w:rPr>
                <w:rFonts w:ascii="Cambria Math" w:hAnsi="Cambria Math"/>
                <w:sz w:val="22"/>
                <w:szCs w:val="22"/>
              </w:rPr>
              <m:t>BW</m:t>
            </m:r>
          </m:e>
          <m:sub>
            <m:r>
              <w:rPr>
                <w:rFonts w:ascii="Cambria Math" w:hAnsi="Cambria Math"/>
                <w:sz w:val="22"/>
                <w:szCs w:val="22"/>
              </w:rPr>
              <m:t>RF</m:t>
            </m:r>
          </m:sub>
        </m:sSub>
        <m:r>
          <w:rPr>
            <w:rFonts w:ascii="Cambria Math" w:hAnsi="Cambria Math"/>
            <w:sz w:val="22"/>
            <w:szCs w:val="22"/>
          </w:rPr>
          <m:t>=</m:t>
        </m:r>
      </m:oMath>
      <w:r w:rsidR="00E05F90">
        <w:rPr>
          <w:sz w:val="22"/>
          <w:szCs w:val="22"/>
        </w:rPr>
        <w:t xml:space="preserve">400MHz (both for desired and adjacent channel) and a sampling rate of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s</m:t>
            </m:r>
          </m:sub>
        </m:sSub>
        <m:r>
          <w:rPr>
            <w:rFonts w:ascii="Cambria Math" w:hAnsi="Cambria Math"/>
            <w:sz w:val="22"/>
            <w:szCs w:val="22"/>
          </w:rPr>
          <m:t>=</m:t>
        </m:r>
      </m:oMath>
      <w:r w:rsidR="00E05F90">
        <w:rPr>
          <w:sz w:val="22"/>
          <w:szCs w:val="22"/>
        </w:rPr>
        <w:t>2GHz  the oversampling rate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s</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BW</m:t>
            </m:r>
          </m:e>
          <m:sub>
            <m:r>
              <w:rPr>
                <w:rFonts w:ascii="Cambria Math" w:hAnsi="Cambria Math"/>
                <w:sz w:val="22"/>
                <w:szCs w:val="22"/>
              </w:rPr>
              <m:t>RF</m:t>
            </m:r>
          </m:sub>
        </m:sSub>
      </m:oMath>
      <w:r w:rsidR="00E05F90">
        <w:rPr>
          <w:sz w:val="22"/>
          <w:szCs w:val="22"/>
        </w:rPr>
        <w:t>) becomes 5 times (~7</w:t>
      </w:r>
      <w:r w:rsidR="00E05F90" w:rsidRPr="00F7221C">
        <w:rPr>
          <w:sz w:val="22"/>
          <w:szCs w:val="22"/>
        </w:rPr>
        <w:t>dB</w:t>
      </w:r>
      <w:r w:rsidR="00E05F90">
        <w:rPr>
          <w:sz w:val="22"/>
          <w:szCs w:val="22"/>
        </w:rPr>
        <w:t>) and, thus,</w:t>
      </w:r>
      <w:r w:rsidR="00E05F90" w:rsidRPr="00F7221C">
        <w:rPr>
          <w:sz w:val="22"/>
          <w:szCs w:val="22"/>
        </w:rPr>
        <w:t xml:space="preserve"> </w:t>
      </w:r>
      <w:r w:rsidR="00E05F90">
        <w:rPr>
          <w:sz w:val="22"/>
          <w:szCs w:val="22"/>
        </w:rPr>
        <w:t>the maximum SNR improves</w:t>
      </w:r>
      <w:r w:rsidR="00E05F90" w:rsidRPr="00F7221C">
        <w:rPr>
          <w:sz w:val="22"/>
          <w:szCs w:val="22"/>
        </w:rPr>
        <w:t xml:space="preserve"> </w:t>
      </w:r>
      <w:r w:rsidR="00E05F90">
        <w:rPr>
          <w:sz w:val="22"/>
          <w:szCs w:val="22"/>
        </w:rPr>
        <w:t>to 51</w:t>
      </w:r>
      <w:r w:rsidR="00E05F90" w:rsidRPr="00F7221C">
        <w:rPr>
          <w:sz w:val="22"/>
          <w:szCs w:val="22"/>
        </w:rPr>
        <w:t xml:space="preserve">dB. </w:t>
      </w:r>
      <w:r w:rsidR="00E05F90">
        <w:rPr>
          <w:sz w:val="22"/>
          <w:szCs w:val="22"/>
        </w:rPr>
        <w:t xml:space="preserve">To accommodate an OFDM signal, a </w:t>
      </w:r>
      <w:r w:rsidR="00E05F90" w:rsidRPr="00F7221C">
        <w:rPr>
          <w:sz w:val="22"/>
          <w:szCs w:val="22"/>
        </w:rPr>
        <w:t xml:space="preserve">13dB of backoff </w:t>
      </w:r>
      <w:r w:rsidR="00E05F90">
        <w:rPr>
          <w:sz w:val="22"/>
          <w:szCs w:val="22"/>
        </w:rPr>
        <w:t>is applied yielding a quantization noise level within one channel bandwidth of -38dBc (disregarding the sinc roll-off due to zero-order hold of the DAC). In practice, further backoff may be required to account for a predistorted signal in case DPD is used</w:t>
      </w:r>
      <w:r w:rsidR="00E05F90" w:rsidRPr="00F7221C">
        <w:rPr>
          <w:sz w:val="22"/>
          <w:szCs w:val="22"/>
        </w:rPr>
        <w:t xml:space="preserve">. Now, quantization noise is commonly only one </w:t>
      </w:r>
      <w:r w:rsidR="00E05F90">
        <w:rPr>
          <w:sz w:val="22"/>
          <w:szCs w:val="22"/>
        </w:rPr>
        <w:t xml:space="preserve">major </w:t>
      </w:r>
      <w:r w:rsidR="00E05F90" w:rsidRPr="00F7221C">
        <w:rPr>
          <w:sz w:val="22"/>
          <w:szCs w:val="22"/>
        </w:rPr>
        <w:t xml:space="preserve">source of noise </w:t>
      </w:r>
      <w:r w:rsidR="00E05F90">
        <w:rPr>
          <w:sz w:val="22"/>
          <w:szCs w:val="22"/>
        </w:rPr>
        <w:t xml:space="preserve">and is commonly designed to be lower or </w:t>
      </w:r>
      <w:r w:rsidR="00E05F90" w:rsidRPr="00F7221C">
        <w:rPr>
          <w:sz w:val="22"/>
          <w:szCs w:val="22"/>
        </w:rPr>
        <w:t xml:space="preserve">comparable to other noise sources. </w:t>
      </w:r>
      <w:r w:rsidR="00E05F90">
        <w:rPr>
          <w:sz w:val="22"/>
          <w:szCs w:val="22"/>
        </w:rPr>
        <w:t>Here, consider a total noise budget that is 7</w:t>
      </w:r>
      <w:r w:rsidR="00E05F90" w:rsidRPr="00F7221C">
        <w:rPr>
          <w:sz w:val="22"/>
          <w:szCs w:val="22"/>
        </w:rPr>
        <w:t xml:space="preserve">dB </w:t>
      </w:r>
      <w:r w:rsidR="00E05F90">
        <w:rPr>
          <w:sz w:val="22"/>
          <w:szCs w:val="22"/>
        </w:rPr>
        <w:t xml:space="preserve">above the quantization noise </w:t>
      </w:r>
      <w:r w:rsidR="00E05F90" w:rsidRPr="00F7221C">
        <w:rPr>
          <w:sz w:val="22"/>
          <w:szCs w:val="22"/>
        </w:rPr>
        <w:t xml:space="preserve">to </w:t>
      </w:r>
      <w:r w:rsidR="00E05F90">
        <w:rPr>
          <w:sz w:val="22"/>
          <w:szCs w:val="22"/>
        </w:rPr>
        <w:t xml:space="preserve">accommodate other noise source and the </w:t>
      </w:r>
      <w:r w:rsidR="00E05F90" w:rsidRPr="00F7221C">
        <w:rPr>
          <w:sz w:val="22"/>
          <w:szCs w:val="22"/>
        </w:rPr>
        <w:t>noise lev</w:t>
      </w:r>
      <w:r w:rsidR="00E05F90">
        <w:rPr>
          <w:sz w:val="22"/>
          <w:szCs w:val="22"/>
        </w:rPr>
        <w:t>el in an adjacent channel becomes -31</w:t>
      </w:r>
      <w:r w:rsidR="00E05F90" w:rsidRPr="00F7221C">
        <w:rPr>
          <w:sz w:val="22"/>
          <w:szCs w:val="22"/>
        </w:rPr>
        <w:t>dBc.</w:t>
      </w:r>
      <w:r w:rsidR="00E05F90">
        <w:rPr>
          <w:sz w:val="22"/>
          <w:szCs w:val="22"/>
        </w:rPr>
        <w:t xml:space="preserve"> </w:t>
      </w:r>
      <w:r w:rsidR="00E05F90" w:rsidRPr="00F7221C">
        <w:rPr>
          <w:sz w:val="22"/>
          <w:szCs w:val="22"/>
        </w:rPr>
        <w:t xml:space="preserve">Due </w:t>
      </w:r>
      <w:r w:rsidR="00E05F90">
        <w:rPr>
          <w:sz w:val="22"/>
          <w:szCs w:val="22"/>
        </w:rPr>
        <w:t xml:space="preserve">to TX dynamic range we may </w:t>
      </w:r>
      <w:r w:rsidR="00E05F90" w:rsidRPr="00F7221C">
        <w:rPr>
          <w:sz w:val="22"/>
          <w:szCs w:val="22"/>
        </w:rPr>
        <w:t xml:space="preserve">operate at </w:t>
      </w:r>
      <w:r w:rsidR="00E05F90">
        <w:rPr>
          <w:sz w:val="22"/>
          <w:szCs w:val="22"/>
        </w:rPr>
        <w:t xml:space="preserve">lower output power levels than maximum output power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max</m:t>
            </m:r>
          </m:sub>
        </m:sSub>
      </m:oMath>
      <w:r w:rsidR="00E05F90">
        <w:rPr>
          <w:sz w:val="22"/>
          <w:szCs w:val="22"/>
        </w:rPr>
        <w:t xml:space="preserve"> but the noise floor is unaffected. For example, at </w:t>
      </w:r>
      <w:r w:rsidR="00E05F90" w:rsidRPr="00F7221C">
        <w:rPr>
          <w:sz w:val="22"/>
          <w:szCs w:val="22"/>
        </w:rPr>
        <w:t xml:space="preserve">6dB below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max</m:t>
            </m:r>
          </m:sub>
        </m:sSub>
      </m:oMath>
      <w:r w:rsidR="00E05F90">
        <w:rPr>
          <w:sz w:val="22"/>
          <w:szCs w:val="22"/>
        </w:rPr>
        <w:t xml:space="preserve"> </w:t>
      </w:r>
      <w:r w:rsidR="00E05F90" w:rsidRPr="00F7221C">
        <w:rPr>
          <w:sz w:val="22"/>
          <w:szCs w:val="22"/>
        </w:rPr>
        <w:t>the</w:t>
      </w:r>
      <w:r w:rsidR="00E05F90">
        <w:rPr>
          <w:sz w:val="22"/>
          <w:szCs w:val="22"/>
        </w:rPr>
        <w:t xml:space="preserve"> noise in the adjacent channel becomes -25dBc, and thus will comparable to relative ACLR requirements</w:t>
      </w:r>
      <w:r w:rsidR="00E05F90" w:rsidRPr="00F7221C">
        <w:rPr>
          <w:sz w:val="22"/>
          <w:szCs w:val="22"/>
        </w:rPr>
        <w:t>.</w:t>
      </w:r>
      <w:r w:rsidR="00E05F90">
        <w:rPr>
          <w:sz w:val="22"/>
          <w:szCs w:val="22"/>
        </w:rPr>
        <w:t xml:space="preserve"> In terms of absolute power levels, with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out</m:t>
            </m:r>
          </m:sub>
        </m:sSub>
      </m:oMath>
      <w:r w:rsidR="00E05F90">
        <w:rPr>
          <w:sz w:val="22"/>
          <w:szCs w:val="22"/>
        </w:rPr>
        <w:t>=</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max</m:t>
            </m:r>
          </m:sub>
        </m:sSub>
      </m:oMath>
      <w:r w:rsidR="00E05F90">
        <w:rPr>
          <w:sz w:val="22"/>
          <w:szCs w:val="22"/>
        </w:rPr>
        <w:t>=12dBm and 512 transceivers (27dB), the noise floor becomes 12dBm+27dB-31dBc-10log10(400MHz/1MHz)=-18dBm/MHz. Note that additional contributions could occur.</w:t>
      </w:r>
    </w:p>
    <w:p w14:paraId="1877BEB6" w14:textId="7997882B" w:rsidR="00BE73C3" w:rsidRPr="00BE73C3" w:rsidRDefault="00BE73C3" w:rsidP="00E05F90">
      <w:pPr>
        <w:rPr>
          <w:lang w:val="en-US"/>
        </w:rPr>
      </w:pPr>
    </w:p>
    <w:p w14:paraId="02AC8565" w14:textId="55B2AC44" w:rsidR="00A94494" w:rsidRDefault="000976E3" w:rsidP="00703346">
      <w:pPr>
        <w:pStyle w:val="Heading1"/>
        <w:rPr>
          <w:lang w:val="en-US"/>
        </w:rPr>
      </w:pPr>
      <w:r>
        <w:rPr>
          <w:lang w:val="en-US"/>
        </w:rPr>
        <w:t>Revisiting NR coexistence studies</w:t>
      </w:r>
      <w:r w:rsidR="00C50B97">
        <w:rPr>
          <w:lang w:val="en-US"/>
        </w:rPr>
        <w:t xml:space="preserve"> </w:t>
      </w:r>
    </w:p>
    <w:p w14:paraId="45DB4AA7" w14:textId="439FF275" w:rsidR="000976E3" w:rsidRDefault="00357F02" w:rsidP="00E05F90">
      <w:pPr>
        <w:rPr>
          <w:lang w:val="en-US"/>
        </w:rPr>
      </w:pPr>
      <w:r>
        <w:rPr>
          <w:lang w:val="en-US"/>
        </w:rPr>
        <w:t xml:space="preserve">For </w:t>
      </w:r>
      <w:r w:rsidR="000976E3">
        <w:rPr>
          <w:lang w:val="en-US"/>
        </w:rPr>
        <w:t xml:space="preserve">Rel-14 </w:t>
      </w:r>
      <w:r>
        <w:rPr>
          <w:lang w:val="en-US"/>
        </w:rPr>
        <w:t>NR</w:t>
      </w:r>
      <w:r w:rsidR="000976E3">
        <w:rPr>
          <w:lang w:val="en-US"/>
        </w:rPr>
        <w:t xml:space="preserve"> SI phase</w:t>
      </w:r>
      <w:r>
        <w:rPr>
          <w:lang w:val="en-US"/>
        </w:rPr>
        <w:t xml:space="preserve">, </w:t>
      </w:r>
      <w:r w:rsidR="000976E3">
        <w:rPr>
          <w:lang w:val="en-US"/>
        </w:rPr>
        <w:t>extensive studies have been done on the coexistence of mmWave NR systems. The table below shows the interpolated ACIR value for DL.</w:t>
      </w:r>
    </w:p>
    <w:p w14:paraId="4735AE8A" w14:textId="77777777" w:rsidR="000976E3" w:rsidRPr="00BC0426" w:rsidRDefault="000976E3" w:rsidP="000976E3">
      <w:pPr>
        <w:pStyle w:val="TAH"/>
        <w:rPr>
          <w:rFonts w:eastAsia="SimSun"/>
          <w:lang w:eastAsia="ja-JP"/>
        </w:rPr>
      </w:pPr>
      <w:r w:rsidRPr="00BC0426">
        <w:rPr>
          <w:rFonts w:eastAsia="SimSun" w:hint="eastAsia"/>
          <w:lang w:eastAsia="ja-JP"/>
        </w:rPr>
        <w:t xml:space="preserve">Table </w:t>
      </w:r>
      <w:r w:rsidRPr="00BC0426">
        <w:rPr>
          <w:rFonts w:hint="eastAsia"/>
          <w:lang w:eastAsia="ja-JP"/>
        </w:rPr>
        <w:t>5.5-7</w:t>
      </w:r>
      <w:r w:rsidRPr="00BC0426">
        <w:rPr>
          <w:rFonts w:eastAsia="SimSun" w:hint="eastAsia"/>
          <w:lang w:eastAsia="ja-JP"/>
        </w:rPr>
        <w:t>: I</w:t>
      </w:r>
      <w:r w:rsidRPr="00BC0426">
        <w:rPr>
          <w:rFonts w:eastAsia="SimSun"/>
          <w:lang w:eastAsia="ja-JP"/>
        </w:rPr>
        <w:t xml:space="preserve">nterpolated ACIR values </w:t>
      </w:r>
      <w:r w:rsidRPr="00BC0426">
        <w:rPr>
          <w:rFonts w:eastAsia="SimSun" w:hint="eastAsia"/>
          <w:lang w:eastAsia="ja-JP"/>
        </w:rPr>
        <w:t xml:space="preserve">for DL </w:t>
      </w:r>
      <w:r w:rsidRPr="00BC0426">
        <w:rPr>
          <w:rFonts w:eastAsia="SimSun"/>
          <w:lang w:eastAsia="ja-JP"/>
        </w:rPr>
        <w:t xml:space="preserve">to meet the 5% throughput loss criteria </w:t>
      </w:r>
      <w:r w:rsidRPr="00BC0426">
        <w:rPr>
          <w:rFonts w:eastAsia="SimSun" w:hint="eastAsia"/>
          <w:lang w:eastAsia="ja-JP"/>
        </w:rPr>
        <w:t>at 30GHz</w:t>
      </w:r>
    </w:p>
    <w:tbl>
      <w:tblPr>
        <w:tblW w:w="8278" w:type="dxa"/>
        <w:jc w:val="center"/>
        <w:tblCellMar>
          <w:left w:w="99" w:type="dxa"/>
          <w:right w:w="99" w:type="dxa"/>
        </w:tblCellMar>
        <w:tblLook w:val="04A0" w:firstRow="1" w:lastRow="0" w:firstColumn="1" w:lastColumn="0" w:noHBand="0" w:noVBand="1"/>
      </w:tblPr>
      <w:tblGrid>
        <w:gridCol w:w="1129"/>
        <w:gridCol w:w="909"/>
        <w:gridCol w:w="780"/>
        <w:gridCol w:w="780"/>
        <w:gridCol w:w="780"/>
        <w:gridCol w:w="780"/>
        <w:gridCol w:w="780"/>
        <w:gridCol w:w="780"/>
        <w:gridCol w:w="780"/>
        <w:gridCol w:w="780"/>
      </w:tblGrid>
      <w:tr w:rsidR="000976E3" w:rsidRPr="00AB5D68" w14:paraId="5B1C81A9" w14:textId="77777777" w:rsidTr="007272F1">
        <w:trPr>
          <w:trHeight w:val="540"/>
          <w:jc w:val="center"/>
        </w:trPr>
        <w:tc>
          <w:tcPr>
            <w:tcW w:w="20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5C1B7"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Scenario</w:t>
            </w: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9584A9"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Indoor</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7C0F38E8"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Urban macro,</w:t>
            </w:r>
            <w:r w:rsidRPr="00AB5D68">
              <w:rPr>
                <w:rFonts w:eastAsia="MS PGothic" w:cs="Arial" w:hint="eastAsia"/>
                <w:b/>
                <w:bCs/>
                <w:sz w:val="18"/>
                <w:szCs w:val="18"/>
                <w:lang w:eastAsia="ja-JP"/>
              </w:rPr>
              <w:br/>
              <w:t>ISD=200m</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6F072399"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Urban macro,</w:t>
            </w:r>
            <w:r w:rsidRPr="00AB5D68">
              <w:rPr>
                <w:rFonts w:eastAsia="MS PGothic" w:cs="Arial" w:hint="eastAsia"/>
                <w:b/>
                <w:bCs/>
                <w:sz w:val="18"/>
                <w:szCs w:val="18"/>
                <w:lang w:eastAsia="ja-JP"/>
              </w:rPr>
              <w:br/>
              <w:t>ISD=300m</w:t>
            </w: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EDA694"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Dense urban</w:t>
            </w:r>
          </w:p>
        </w:tc>
      </w:tr>
      <w:tr w:rsidR="000976E3" w:rsidRPr="00AB5D68" w14:paraId="008CDE81" w14:textId="77777777" w:rsidTr="007272F1">
        <w:trPr>
          <w:trHeight w:val="270"/>
          <w:jc w:val="center"/>
        </w:trPr>
        <w:tc>
          <w:tcPr>
            <w:tcW w:w="20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72102"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NF</w:t>
            </w:r>
            <w:r>
              <w:rPr>
                <w:rFonts w:eastAsia="MS PGothic" w:cs="Arial" w:hint="eastAsia"/>
                <w:b/>
                <w:bCs/>
                <w:sz w:val="18"/>
                <w:szCs w:val="18"/>
                <w:lang w:eastAsia="ja-JP"/>
              </w:rPr>
              <w:t xml:space="preserve"> [dB]</w:t>
            </w:r>
          </w:p>
        </w:tc>
        <w:tc>
          <w:tcPr>
            <w:tcW w:w="780" w:type="dxa"/>
            <w:tcBorders>
              <w:top w:val="nil"/>
              <w:left w:val="nil"/>
              <w:bottom w:val="single" w:sz="4" w:space="0" w:color="auto"/>
              <w:right w:val="single" w:sz="4" w:space="0" w:color="auto"/>
            </w:tcBorders>
            <w:shd w:val="clear" w:color="auto" w:fill="auto"/>
            <w:noWrap/>
            <w:vAlign w:val="center"/>
            <w:hideMark/>
          </w:tcPr>
          <w:p w14:paraId="79AA4A27"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9</w:t>
            </w:r>
          </w:p>
        </w:tc>
        <w:tc>
          <w:tcPr>
            <w:tcW w:w="780" w:type="dxa"/>
            <w:tcBorders>
              <w:top w:val="nil"/>
              <w:left w:val="nil"/>
              <w:bottom w:val="single" w:sz="4" w:space="0" w:color="auto"/>
              <w:right w:val="single" w:sz="4" w:space="0" w:color="auto"/>
            </w:tcBorders>
            <w:shd w:val="clear" w:color="auto" w:fill="auto"/>
            <w:noWrap/>
            <w:vAlign w:val="center"/>
            <w:hideMark/>
          </w:tcPr>
          <w:p w14:paraId="14EBA0E6"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11</w:t>
            </w:r>
          </w:p>
        </w:tc>
        <w:tc>
          <w:tcPr>
            <w:tcW w:w="780" w:type="dxa"/>
            <w:tcBorders>
              <w:top w:val="nil"/>
              <w:left w:val="nil"/>
              <w:bottom w:val="single" w:sz="4" w:space="0" w:color="auto"/>
              <w:right w:val="single" w:sz="4" w:space="0" w:color="auto"/>
            </w:tcBorders>
            <w:shd w:val="clear" w:color="auto" w:fill="auto"/>
            <w:noWrap/>
            <w:vAlign w:val="center"/>
            <w:hideMark/>
          </w:tcPr>
          <w:p w14:paraId="2E884C3B"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9</w:t>
            </w:r>
          </w:p>
        </w:tc>
        <w:tc>
          <w:tcPr>
            <w:tcW w:w="780" w:type="dxa"/>
            <w:tcBorders>
              <w:top w:val="nil"/>
              <w:left w:val="nil"/>
              <w:bottom w:val="single" w:sz="4" w:space="0" w:color="auto"/>
              <w:right w:val="single" w:sz="4" w:space="0" w:color="auto"/>
            </w:tcBorders>
            <w:shd w:val="clear" w:color="auto" w:fill="auto"/>
            <w:noWrap/>
            <w:vAlign w:val="center"/>
            <w:hideMark/>
          </w:tcPr>
          <w:p w14:paraId="3DE14182"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11</w:t>
            </w:r>
          </w:p>
        </w:tc>
        <w:tc>
          <w:tcPr>
            <w:tcW w:w="780" w:type="dxa"/>
            <w:tcBorders>
              <w:top w:val="nil"/>
              <w:left w:val="nil"/>
              <w:bottom w:val="single" w:sz="4" w:space="0" w:color="auto"/>
              <w:right w:val="single" w:sz="4" w:space="0" w:color="auto"/>
            </w:tcBorders>
            <w:shd w:val="clear" w:color="auto" w:fill="auto"/>
            <w:noWrap/>
            <w:vAlign w:val="center"/>
            <w:hideMark/>
          </w:tcPr>
          <w:p w14:paraId="059AFC69"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9</w:t>
            </w:r>
          </w:p>
        </w:tc>
        <w:tc>
          <w:tcPr>
            <w:tcW w:w="780" w:type="dxa"/>
            <w:tcBorders>
              <w:top w:val="nil"/>
              <w:left w:val="nil"/>
              <w:bottom w:val="single" w:sz="4" w:space="0" w:color="auto"/>
              <w:right w:val="single" w:sz="4" w:space="0" w:color="auto"/>
            </w:tcBorders>
            <w:shd w:val="clear" w:color="auto" w:fill="auto"/>
            <w:noWrap/>
            <w:vAlign w:val="center"/>
            <w:hideMark/>
          </w:tcPr>
          <w:p w14:paraId="25D1F601"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11</w:t>
            </w:r>
          </w:p>
        </w:tc>
        <w:tc>
          <w:tcPr>
            <w:tcW w:w="780" w:type="dxa"/>
            <w:tcBorders>
              <w:top w:val="nil"/>
              <w:left w:val="nil"/>
              <w:bottom w:val="single" w:sz="4" w:space="0" w:color="auto"/>
              <w:right w:val="single" w:sz="4" w:space="0" w:color="auto"/>
            </w:tcBorders>
            <w:shd w:val="clear" w:color="auto" w:fill="auto"/>
            <w:noWrap/>
            <w:vAlign w:val="center"/>
            <w:hideMark/>
          </w:tcPr>
          <w:p w14:paraId="02D73E23"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9</w:t>
            </w:r>
          </w:p>
        </w:tc>
        <w:tc>
          <w:tcPr>
            <w:tcW w:w="780" w:type="dxa"/>
            <w:tcBorders>
              <w:top w:val="nil"/>
              <w:left w:val="nil"/>
              <w:bottom w:val="single" w:sz="4" w:space="0" w:color="auto"/>
              <w:right w:val="single" w:sz="4" w:space="0" w:color="auto"/>
            </w:tcBorders>
            <w:shd w:val="clear" w:color="auto" w:fill="auto"/>
            <w:noWrap/>
            <w:vAlign w:val="center"/>
            <w:hideMark/>
          </w:tcPr>
          <w:p w14:paraId="167779EB"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11</w:t>
            </w:r>
          </w:p>
        </w:tc>
      </w:tr>
      <w:tr w:rsidR="000976E3" w:rsidRPr="00AB5D68" w14:paraId="5FDD94F4" w14:textId="77777777" w:rsidTr="007272F1">
        <w:trPr>
          <w:trHeight w:val="270"/>
          <w:jc w:val="center"/>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3740B2D6"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Nokia,</w:t>
            </w:r>
            <w:r w:rsidRPr="00AB5D68">
              <w:rPr>
                <w:rFonts w:eastAsia="MS PGothic" w:cs="Arial" w:hint="eastAsia"/>
                <w:b/>
                <w:bCs/>
                <w:sz w:val="18"/>
                <w:szCs w:val="18"/>
                <w:lang w:eastAsia="ja-JP"/>
              </w:rPr>
              <w:br/>
              <w:t>ALU</w:t>
            </w:r>
          </w:p>
        </w:tc>
        <w:tc>
          <w:tcPr>
            <w:tcW w:w="909" w:type="dxa"/>
            <w:tcBorders>
              <w:top w:val="nil"/>
              <w:left w:val="nil"/>
              <w:bottom w:val="single" w:sz="4" w:space="0" w:color="auto"/>
              <w:right w:val="single" w:sz="4" w:space="0" w:color="auto"/>
            </w:tcBorders>
            <w:shd w:val="clear" w:color="auto" w:fill="auto"/>
            <w:noWrap/>
            <w:vAlign w:val="center"/>
            <w:hideMark/>
          </w:tcPr>
          <w:p w14:paraId="48198985"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Average</w:t>
            </w:r>
          </w:p>
        </w:tc>
        <w:tc>
          <w:tcPr>
            <w:tcW w:w="780" w:type="dxa"/>
            <w:tcBorders>
              <w:top w:val="nil"/>
              <w:left w:val="nil"/>
              <w:bottom w:val="single" w:sz="4" w:space="0" w:color="auto"/>
              <w:right w:val="single" w:sz="4" w:space="0" w:color="auto"/>
            </w:tcBorders>
            <w:shd w:val="clear" w:color="auto" w:fill="auto"/>
            <w:noWrap/>
            <w:vAlign w:val="center"/>
            <w:hideMark/>
          </w:tcPr>
          <w:p w14:paraId="16BD871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15.73 </w:t>
            </w:r>
          </w:p>
        </w:tc>
        <w:tc>
          <w:tcPr>
            <w:tcW w:w="780" w:type="dxa"/>
            <w:tcBorders>
              <w:top w:val="nil"/>
              <w:left w:val="nil"/>
              <w:bottom w:val="single" w:sz="4" w:space="0" w:color="auto"/>
              <w:right w:val="single" w:sz="4" w:space="0" w:color="auto"/>
            </w:tcBorders>
            <w:shd w:val="clear" w:color="auto" w:fill="auto"/>
            <w:noWrap/>
            <w:vAlign w:val="center"/>
            <w:hideMark/>
          </w:tcPr>
          <w:p w14:paraId="7FF433A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15.73 </w:t>
            </w:r>
          </w:p>
        </w:tc>
        <w:tc>
          <w:tcPr>
            <w:tcW w:w="780" w:type="dxa"/>
            <w:tcBorders>
              <w:top w:val="nil"/>
              <w:left w:val="nil"/>
              <w:bottom w:val="single" w:sz="4" w:space="0" w:color="auto"/>
              <w:right w:val="single" w:sz="4" w:space="0" w:color="auto"/>
            </w:tcBorders>
            <w:shd w:val="clear" w:color="auto" w:fill="auto"/>
            <w:noWrap/>
            <w:vAlign w:val="center"/>
            <w:hideMark/>
          </w:tcPr>
          <w:p w14:paraId="566F6823"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11.85 </w:t>
            </w:r>
          </w:p>
        </w:tc>
        <w:tc>
          <w:tcPr>
            <w:tcW w:w="780" w:type="dxa"/>
            <w:tcBorders>
              <w:top w:val="nil"/>
              <w:left w:val="nil"/>
              <w:bottom w:val="single" w:sz="4" w:space="0" w:color="auto"/>
              <w:right w:val="single" w:sz="4" w:space="0" w:color="auto"/>
            </w:tcBorders>
            <w:shd w:val="clear" w:color="auto" w:fill="auto"/>
            <w:noWrap/>
            <w:vAlign w:val="center"/>
            <w:hideMark/>
          </w:tcPr>
          <w:p w14:paraId="0AFADCF6"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11.81 </w:t>
            </w:r>
          </w:p>
        </w:tc>
        <w:tc>
          <w:tcPr>
            <w:tcW w:w="780" w:type="dxa"/>
            <w:tcBorders>
              <w:top w:val="nil"/>
              <w:left w:val="nil"/>
              <w:bottom w:val="single" w:sz="4" w:space="0" w:color="auto"/>
              <w:right w:val="single" w:sz="4" w:space="0" w:color="auto"/>
            </w:tcBorders>
            <w:shd w:val="clear" w:color="auto" w:fill="auto"/>
            <w:noWrap/>
            <w:vAlign w:val="center"/>
            <w:hideMark/>
          </w:tcPr>
          <w:p w14:paraId="54FB7F7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14.29 </w:t>
            </w:r>
          </w:p>
        </w:tc>
        <w:tc>
          <w:tcPr>
            <w:tcW w:w="780" w:type="dxa"/>
            <w:tcBorders>
              <w:top w:val="nil"/>
              <w:left w:val="nil"/>
              <w:bottom w:val="single" w:sz="4" w:space="0" w:color="auto"/>
              <w:right w:val="single" w:sz="4" w:space="0" w:color="auto"/>
            </w:tcBorders>
            <w:shd w:val="clear" w:color="auto" w:fill="auto"/>
            <w:noWrap/>
            <w:vAlign w:val="center"/>
            <w:hideMark/>
          </w:tcPr>
          <w:p w14:paraId="4F55D79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14.11 </w:t>
            </w:r>
          </w:p>
        </w:tc>
        <w:tc>
          <w:tcPr>
            <w:tcW w:w="780" w:type="dxa"/>
            <w:tcBorders>
              <w:top w:val="nil"/>
              <w:left w:val="nil"/>
              <w:bottom w:val="single" w:sz="4" w:space="0" w:color="auto"/>
              <w:right w:val="single" w:sz="4" w:space="0" w:color="auto"/>
            </w:tcBorders>
            <w:shd w:val="clear" w:color="auto" w:fill="auto"/>
            <w:noWrap/>
            <w:vAlign w:val="center"/>
            <w:hideMark/>
          </w:tcPr>
          <w:p w14:paraId="2B3D84A4"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5.00 </w:t>
            </w:r>
          </w:p>
        </w:tc>
        <w:tc>
          <w:tcPr>
            <w:tcW w:w="780" w:type="dxa"/>
            <w:tcBorders>
              <w:top w:val="nil"/>
              <w:left w:val="nil"/>
              <w:bottom w:val="single" w:sz="4" w:space="0" w:color="auto"/>
              <w:right w:val="single" w:sz="4" w:space="0" w:color="auto"/>
            </w:tcBorders>
            <w:shd w:val="clear" w:color="auto" w:fill="auto"/>
            <w:noWrap/>
            <w:vAlign w:val="center"/>
            <w:hideMark/>
          </w:tcPr>
          <w:p w14:paraId="721662EA"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5.00 </w:t>
            </w:r>
          </w:p>
        </w:tc>
      </w:tr>
      <w:tr w:rsidR="000976E3" w:rsidRPr="00AB5D68" w14:paraId="5CD191EB" w14:textId="77777777" w:rsidTr="007272F1">
        <w:trPr>
          <w:trHeight w:val="270"/>
          <w:jc w:val="center"/>
        </w:trPr>
        <w:tc>
          <w:tcPr>
            <w:tcW w:w="1129" w:type="dxa"/>
            <w:vMerge/>
            <w:tcBorders>
              <w:top w:val="nil"/>
              <w:left w:val="single" w:sz="4" w:space="0" w:color="auto"/>
              <w:bottom w:val="single" w:sz="4" w:space="0" w:color="auto"/>
              <w:right w:val="single" w:sz="4" w:space="0" w:color="auto"/>
            </w:tcBorders>
            <w:vAlign w:val="center"/>
            <w:hideMark/>
          </w:tcPr>
          <w:p w14:paraId="52A84ED9" w14:textId="77777777" w:rsidR="000976E3" w:rsidRPr="00AB5D68" w:rsidRDefault="000976E3" w:rsidP="005E1C68">
            <w:pPr>
              <w:spacing w:after="0"/>
              <w:jc w:val="center"/>
              <w:rPr>
                <w:rFonts w:eastAsia="MS PGothic" w:cs="Arial"/>
                <w:b/>
                <w:bCs/>
                <w:sz w:val="18"/>
                <w:szCs w:val="18"/>
                <w:lang w:eastAsia="ja-JP"/>
              </w:rPr>
            </w:pPr>
          </w:p>
        </w:tc>
        <w:tc>
          <w:tcPr>
            <w:tcW w:w="909" w:type="dxa"/>
            <w:tcBorders>
              <w:top w:val="nil"/>
              <w:left w:val="nil"/>
              <w:bottom w:val="single" w:sz="4" w:space="0" w:color="auto"/>
              <w:right w:val="single" w:sz="4" w:space="0" w:color="auto"/>
            </w:tcBorders>
            <w:shd w:val="clear" w:color="auto" w:fill="auto"/>
            <w:noWrap/>
            <w:vAlign w:val="center"/>
            <w:hideMark/>
          </w:tcPr>
          <w:p w14:paraId="1DE5BE7D"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5%-tile</w:t>
            </w:r>
          </w:p>
        </w:tc>
        <w:tc>
          <w:tcPr>
            <w:tcW w:w="780" w:type="dxa"/>
            <w:tcBorders>
              <w:top w:val="nil"/>
              <w:left w:val="nil"/>
              <w:bottom w:val="single" w:sz="4" w:space="0" w:color="auto"/>
              <w:right w:val="single" w:sz="4" w:space="0" w:color="auto"/>
            </w:tcBorders>
            <w:shd w:val="clear" w:color="auto" w:fill="auto"/>
            <w:noWrap/>
            <w:vAlign w:val="center"/>
            <w:hideMark/>
          </w:tcPr>
          <w:p w14:paraId="11C98B3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14.88 </w:t>
            </w:r>
          </w:p>
        </w:tc>
        <w:tc>
          <w:tcPr>
            <w:tcW w:w="780" w:type="dxa"/>
            <w:tcBorders>
              <w:top w:val="nil"/>
              <w:left w:val="nil"/>
              <w:bottom w:val="single" w:sz="4" w:space="0" w:color="auto"/>
              <w:right w:val="single" w:sz="4" w:space="0" w:color="auto"/>
            </w:tcBorders>
            <w:shd w:val="clear" w:color="auto" w:fill="auto"/>
            <w:noWrap/>
            <w:vAlign w:val="center"/>
            <w:hideMark/>
          </w:tcPr>
          <w:p w14:paraId="7BEE939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14.87 </w:t>
            </w:r>
          </w:p>
        </w:tc>
        <w:tc>
          <w:tcPr>
            <w:tcW w:w="780" w:type="dxa"/>
            <w:tcBorders>
              <w:top w:val="nil"/>
              <w:left w:val="nil"/>
              <w:bottom w:val="single" w:sz="4" w:space="0" w:color="auto"/>
              <w:right w:val="single" w:sz="4" w:space="0" w:color="auto"/>
            </w:tcBorders>
            <w:shd w:val="clear" w:color="auto" w:fill="auto"/>
            <w:noWrap/>
            <w:vAlign w:val="center"/>
            <w:hideMark/>
          </w:tcPr>
          <w:p w14:paraId="0AA12D8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19.90 </w:t>
            </w:r>
          </w:p>
        </w:tc>
        <w:tc>
          <w:tcPr>
            <w:tcW w:w="780" w:type="dxa"/>
            <w:tcBorders>
              <w:top w:val="nil"/>
              <w:left w:val="nil"/>
              <w:bottom w:val="single" w:sz="4" w:space="0" w:color="auto"/>
              <w:right w:val="single" w:sz="4" w:space="0" w:color="auto"/>
            </w:tcBorders>
            <w:shd w:val="clear" w:color="auto" w:fill="auto"/>
            <w:noWrap/>
            <w:vAlign w:val="center"/>
            <w:hideMark/>
          </w:tcPr>
          <w:p w14:paraId="645C388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19.95 </w:t>
            </w:r>
          </w:p>
        </w:tc>
        <w:tc>
          <w:tcPr>
            <w:tcW w:w="780" w:type="dxa"/>
            <w:tcBorders>
              <w:top w:val="nil"/>
              <w:left w:val="nil"/>
              <w:bottom w:val="single" w:sz="4" w:space="0" w:color="auto"/>
              <w:right w:val="single" w:sz="4" w:space="0" w:color="auto"/>
            </w:tcBorders>
            <w:shd w:val="clear" w:color="auto" w:fill="auto"/>
            <w:noWrap/>
            <w:vAlign w:val="center"/>
            <w:hideMark/>
          </w:tcPr>
          <w:p w14:paraId="40F1A4DB"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23.02 </w:t>
            </w:r>
          </w:p>
        </w:tc>
        <w:tc>
          <w:tcPr>
            <w:tcW w:w="780" w:type="dxa"/>
            <w:tcBorders>
              <w:top w:val="nil"/>
              <w:left w:val="nil"/>
              <w:bottom w:val="single" w:sz="4" w:space="0" w:color="auto"/>
              <w:right w:val="single" w:sz="4" w:space="0" w:color="auto"/>
            </w:tcBorders>
            <w:shd w:val="clear" w:color="auto" w:fill="auto"/>
            <w:noWrap/>
            <w:vAlign w:val="center"/>
            <w:hideMark/>
          </w:tcPr>
          <w:p w14:paraId="114E2B2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19.59 </w:t>
            </w:r>
          </w:p>
        </w:tc>
        <w:tc>
          <w:tcPr>
            <w:tcW w:w="780" w:type="dxa"/>
            <w:tcBorders>
              <w:top w:val="nil"/>
              <w:left w:val="nil"/>
              <w:bottom w:val="single" w:sz="4" w:space="0" w:color="auto"/>
              <w:right w:val="single" w:sz="4" w:space="0" w:color="auto"/>
            </w:tcBorders>
            <w:shd w:val="clear" w:color="auto" w:fill="auto"/>
            <w:noWrap/>
            <w:vAlign w:val="center"/>
            <w:hideMark/>
          </w:tcPr>
          <w:p w14:paraId="7EDAE0A4"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7.37 </w:t>
            </w:r>
          </w:p>
        </w:tc>
        <w:tc>
          <w:tcPr>
            <w:tcW w:w="780" w:type="dxa"/>
            <w:tcBorders>
              <w:top w:val="nil"/>
              <w:left w:val="nil"/>
              <w:bottom w:val="single" w:sz="4" w:space="0" w:color="auto"/>
              <w:right w:val="single" w:sz="4" w:space="0" w:color="auto"/>
            </w:tcBorders>
            <w:shd w:val="clear" w:color="auto" w:fill="auto"/>
            <w:noWrap/>
            <w:vAlign w:val="center"/>
            <w:hideMark/>
          </w:tcPr>
          <w:p w14:paraId="2DE8F37B"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8.52 </w:t>
            </w:r>
          </w:p>
        </w:tc>
      </w:tr>
      <w:tr w:rsidR="000976E3" w:rsidRPr="00AB5D68" w14:paraId="41AE33AB" w14:textId="77777777" w:rsidTr="007272F1">
        <w:trPr>
          <w:trHeight w:val="270"/>
          <w:jc w:val="center"/>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D7D536"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Ericsson *</w:t>
            </w:r>
          </w:p>
        </w:tc>
        <w:tc>
          <w:tcPr>
            <w:tcW w:w="909" w:type="dxa"/>
            <w:tcBorders>
              <w:top w:val="nil"/>
              <w:left w:val="nil"/>
              <w:bottom w:val="single" w:sz="4" w:space="0" w:color="auto"/>
              <w:right w:val="single" w:sz="4" w:space="0" w:color="auto"/>
            </w:tcBorders>
            <w:shd w:val="clear" w:color="auto" w:fill="auto"/>
            <w:noWrap/>
            <w:vAlign w:val="center"/>
            <w:hideMark/>
          </w:tcPr>
          <w:p w14:paraId="691B6795"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Average</w:t>
            </w:r>
          </w:p>
        </w:tc>
        <w:tc>
          <w:tcPr>
            <w:tcW w:w="780" w:type="dxa"/>
            <w:tcBorders>
              <w:top w:val="nil"/>
              <w:left w:val="nil"/>
              <w:bottom w:val="single" w:sz="4" w:space="0" w:color="auto"/>
              <w:right w:val="single" w:sz="4" w:space="0" w:color="auto"/>
            </w:tcBorders>
            <w:shd w:val="clear" w:color="auto" w:fill="auto"/>
            <w:noWrap/>
            <w:vAlign w:val="center"/>
            <w:hideMark/>
          </w:tcPr>
          <w:p w14:paraId="5B61BFC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15.63 </w:t>
            </w:r>
          </w:p>
        </w:tc>
        <w:tc>
          <w:tcPr>
            <w:tcW w:w="780" w:type="dxa"/>
            <w:tcBorders>
              <w:top w:val="nil"/>
              <w:left w:val="nil"/>
              <w:bottom w:val="single" w:sz="4" w:space="0" w:color="auto"/>
              <w:right w:val="single" w:sz="4" w:space="0" w:color="auto"/>
            </w:tcBorders>
            <w:shd w:val="clear" w:color="auto" w:fill="auto"/>
            <w:noWrap/>
            <w:vAlign w:val="center"/>
            <w:hideMark/>
          </w:tcPr>
          <w:p w14:paraId="500730C6"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3EE702F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14.53 </w:t>
            </w:r>
          </w:p>
        </w:tc>
        <w:tc>
          <w:tcPr>
            <w:tcW w:w="780" w:type="dxa"/>
            <w:tcBorders>
              <w:top w:val="nil"/>
              <w:left w:val="nil"/>
              <w:bottom w:val="single" w:sz="4" w:space="0" w:color="auto"/>
              <w:right w:val="single" w:sz="4" w:space="0" w:color="auto"/>
            </w:tcBorders>
            <w:shd w:val="clear" w:color="auto" w:fill="auto"/>
            <w:noWrap/>
            <w:vAlign w:val="center"/>
            <w:hideMark/>
          </w:tcPr>
          <w:p w14:paraId="3F69417A"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4401C24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12881423"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0979487A"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12.23 </w:t>
            </w:r>
          </w:p>
        </w:tc>
        <w:tc>
          <w:tcPr>
            <w:tcW w:w="780" w:type="dxa"/>
            <w:tcBorders>
              <w:top w:val="nil"/>
              <w:left w:val="nil"/>
              <w:bottom w:val="single" w:sz="4" w:space="0" w:color="auto"/>
              <w:right w:val="single" w:sz="4" w:space="0" w:color="auto"/>
            </w:tcBorders>
            <w:shd w:val="clear" w:color="auto" w:fill="auto"/>
            <w:noWrap/>
            <w:vAlign w:val="center"/>
            <w:hideMark/>
          </w:tcPr>
          <w:p w14:paraId="0CDE27E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r>
      <w:tr w:rsidR="000976E3" w:rsidRPr="00AB5D68" w14:paraId="0A543325" w14:textId="77777777" w:rsidTr="007272F1">
        <w:trPr>
          <w:trHeight w:val="270"/>
          <w:jc w:val="center"/>
        </w:trPr>
        <w:tc>
          <w:tcPr>
            <w:tcW w:w="1129" w:type="dxa"/>
            <w:vMerge/>
            <w:tcBorders>
              <w:top w:val="nil"/>
              <w:left w:val="single" w:sz="4" w:space="0" w:color="auto"/>
              <w:bottom w:val="single" w:sz="4" w:space="0" w:color="auto"/>
              <w:right w:val="single" w:sz="4" w:space="0" w:color="auto"/>
            </w:tcBorders>
            <w:vAlign w:val="center"/>
            <w:hideMark/>
          </w:tcPr>
          <w:p w14:paraId="53010408" w14:textId="77777777" w:rsidR="000976E3" w:rsidRPr="00AB5D68" w:rsidRDefault="000976E3" w:rsidP="005E1C68">
            <w:pPr>
              <w:spacing w:after="0"/>
              <w:jc w:val="center"/>
              <w:rPr>
                <w:rFonts w:eastAsia="MS PGothic" w:cs="Arial"/>
                <w:b/>
                <w:bCs/>
                <w:sz w:val="18"/>
                <w:szCs w:val="18"/>
                <w:lang w:eastAsia="ja-JP"/>
              </w:rPr>
            </w:pPr>
          </w:p>
        </w:tc>
        <w:tc>
          <w:tcPr>
            <w:tcW w:w="909" w:type="dxa"/>
            <w:tcBorders>
              <w:top w:val="nil"/>
              <w:left w:val="nil"/>
              <w:bottom w:val="single" w:sz="4" w:space="0" w:color="auto"/>
              <w:right w:val="single" w:sz="4" w:space="0" w:color="auto"/>
            </w:tcBorders>
            <w:shd w:val="clear" w:color="auto" w:fill="auto"/>
            <w:noWrap/>
            <w:vAlign w:val="center"/>
            <w:hideMark/>
          </w:tcPr>
          <w:p w14:paraId="690489BC"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5%-tile</w:t>
            </w:r>
          </w:p>
        </w:tc>
        <w:tc>
          <w:tcPr>
            <w:tcW w:w="780" w:type="dxa"/>
            <w:tcBorders>
              <w:top w:val="nil"/>
              <w:left w:val="nil"/>
              <w:bottom w:val="single" w:sz="4" w:space="0" w:color="auto"/>
              <w:right w:val="single" w:sz="4" w:space="0" w:color="auto"/>
            </w:tcBorders>
            <w:shd w:val="clear" w:color="auto" w:fill="auto"/>
            <w:noWrap/>
            <w:vAlign w:val="center"/>
            <w:hideMark/>
          </w:tcPr>
          <w:p w14:paraId="6E24E189"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17.32 </w:t>
            </w:r>
          </w:p>
        </w:tc>
        <w:tc>
          <w:tcPr>
            <w:tcW w:w="780" w:type="dxa"/>
            <w:tcBorders>
              <w:top w:val="nil"/>
              <w:left w:val="nil"/>
              <w:bottom w:val="single" w:sz="4" w:space="0" w:color="auto"/>
              <w:right w:val="single" w:sz="4" w:space="0" w:color="auto"/>
            </w:tcBorders>
            <w:shd w:val="clear" w:color="auto" w:fill="auto"/>
            <w:noWrap/>
            <w:vAlign w:val="center"/>
            <w:hideMark/>
          </w:tcPr>
          <w:p w14:paraId="17ED48B9"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050B8FB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18.72 </w:t>
            </w:r>
          </w:p>
        </w:tc>
        <w:tc>
          <w:tcPr>
            <w:tcW w:w="780" w:type="dxa"/>
            <w:tcBorders>
              <w:top w:val="nil"/>
              <w:left w:val="nil"/>
              <w:bottom w:val="single" w:sz="4" w:space="0" w:color="auto"/>
              <w:right w:val="single" w:sz="4" w:space="0" w:color="auto"/>
            </w:tcBorders>
            <w:shd w:val="clear" w:color="auto" w:fill="auto"/>
            <w:noWrap/>
            <w:vAlign w:val="center"/>
            <w:hideMark/>
          </w:tcPr>
          <w:p w14:paraId="279617C9"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441B307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62202DA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0783943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14.63 </w:t>
            </w:r>
          </w:p>
        </w:tc>
        <w:tc>
          <w:tcPr>
            <w:tcW w:w="780" w:type="dxa"/>
            <w:tcBorders>
              <w:top w:val="nil"/>
              <w:left w:val="nil"/>
              <w:bottom w:val="single" w:sz="4" w:space="0" w:color="auto"/>
              <w:right w:val="single" w:sz="4" w:space="0" w:color="auto"/>
            </w:tcBorders>
            <w:shd w:val="clear" w:color="auto" w:fill="auto"/>
            <w:noWrap/>
            <w:vAlign w:val="center"/>
            <w:hideMark/>
          </w:tcPr>
          <w:p w14:paraId="5DD9DF31"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r>
      <w:tr w:rsidR="000976E3" w:rsidRPr="00AB5D68" w14:paraId="2AFD00B6" w14:textId="77777777" w:rsidTr="007272F1">
        <w:trPr>
          <w:trHeight w:val="270"/>
          <w:jc w:val="center"/>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3ACBD6"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NEC</w:t>
            </w:r>
          </w:p>
        </w:tc>
        <w:tc>
          <w:tcPr>
            <w:tcW w:w="909" w:type="dxa"/>
            <w:tcBorders>
              <w:top w:val="nil"/>
              <w:left w:val="nil"/>
              <w:bottom w:val="single" w:sz="4" w:space="0" w:color="auto"/>
              <w:right w:val="single" w:sz="4" w:space="0" w:color="auto"/>
            </w:tcBorders>
            <w:shd w:val="clear" w:color="auto" w:fill="auto"/>
            <w:noWrap/>
            <w:vAlign w:val="center"/>
            <w:hideMark/>
          </w:tcPr>
          <w:p w14:paraId="79AAAFD3"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Average</w:t>
            </w:r>
          </w:p>
        </w:tc>
        <w:tc>
          <w:tcPr>
            <w:tcW w:w="780" w:type="dxa"/>
            <w:tcBorders>
              <w:top w:val="nil"/>
              <w:left w:val="nil"/>
              <w:bottom w:val="single" w:sz="4" w:space="0" w:color="auto"/>
              <w:right w:val="single" w:sz="4" w:space="0" w:color="auto"/>
            </w:tcBorders>
            <w:shd w:val="clear" w:color="auto" w:fill="auto"/>
            <w:noWrap/>
            <w:vAlign w:val="center"/>
            <w:hideMark/>
          </w:tcPr>
          <w:p w14:paraId="24281EC0"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15.19 </w:t>
            </w:r>
          </w:p>
        </w:tc>
        <w:tc>
          <w:tcPr>
            <w:tcW w:w="780" w:type="dxa"/>
            <w:tcBorders>
              <w:top w:val="nil"/>
              <w:left w:val="nil"/>
              <w:bottom w:val="single" w:sz="4" w:space="0" w:color="auto"/>
              <w:right w:val="single" w:sz="4" w:space="0" w:color="auto"/>
            </w:tcBorders>
            <w:shd w:val="clear" w:color="auto" w:fill="auto"/>
            <w:noWrap/>
            <w:vAlign w:val="center"/>
            <w:hideMark/>
          </w:tcPr>
          <w:p w14:paraId="32307136"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16.10 </w:t>
            </w:r>
          </w:p>
        </w:tc>
        <w:tc>
          <w:tcPr>
            <w:tcW w:w="780" w:type="dxa"/>
            <w:tcBorders>
              <w:top w:val="nil"/>
              <w:left w:val="nil"/>
              <w:bottom w:val="single" w:sz="4" w:space="0" w:color="auto"/>
              <w:right w:val="single" w:sz="4" w:space="0" w:color="auto"/>
            </w:tcBorders>
            <w:shd w:val="clear" w:color="auto" w:fill="auto"/>
            <w:noWrap/>
            <w:vAlign w:val="center"/>
            <w:hideMark/>
          </w:tcPr>
          <w:p w14:paraId="0773E6B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12.47 </w:t>
            </w:r>
          </w:p>
        </w:tc>
        <w:tc>
          <w:tcPr>
            <w:tcW w:w="780" w:type="dxa"/>
            <w:tcBorders>
              <w:top w:val="nil"/>
              <w:left w:val="nil"/>
              <w:bottom w:val="single" w:sz="4" w:space="0" w:color="auto"/>
              <w:right w:val="single" w:sz="4" w:space="0" w:color="auto"/>
            </w:tcBorders>
            <w:shd w:val="clear" w:color="auto" w:fill="auto"/>
            <w:noWrap/>
            <w:vAlign w:val="center"/>
            <w:hideMark/>
          </w:tcPr>
          <w:p w14:paraId="0466692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12.47 </w:t>
            </w:r>
          </w:p>
        </w:tc>
        <w:tc>
          <w:tcPr>
            <w:tcW w:w="780" w:type="dxa"/>
            <w:tcBorders>
              <w:top w:val="nil"/>
              <w:left w:val="nil"/>
              <w:bottom w:val="single" w:sz="4" w:space="0" w:color="auto"/>
              <w:right w:val="single" w:sz="4" w:space="0" w:color="auto"/>
            </w:tcBorders>
            <w:shd w:val="clear" w:color="auto" w:fill="auto"/>
            <w:noWrap/>
            <w:vAlign w:val="center"/>
            <w:hideMark/>
          </w:tcPr>
          <w:p w14:paraId="67DD986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12.62 </w:t>
            </w:r>
          </w:p>
        </w:tc>
        <w:tc>
          <w:tcPr>
            <w:tcW w:w="780" w:type="dxa"/>
            <w:tcBorders>
              <w:top w:val="nil"/>
              <w:left w:val="nil"/>
              <w:bottom w:val="single" w:sz="4" w:space="0" w:color="auto"/>
              <w:right w:val="single" w:sz="4" w:space="0" w:color="auto"/>
            </w:tcBorders>
            <w:shd w:val="clear" w:color="auto" w:fill="auto"/>
            <w:noWrap/>
            <w:vAlign w:val="center"/>
            <w:hideMark/>
          </w:tcPr>
          <w:p w14:paraId="3B2C4B9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12.55 </w:t>
            </w:r>
          </w:p>
        </w:tc>
        <w:tc>
          <w:tcPr>
            <w:tcW w:w="780" w:type="dxa"/>
            <w:tcBorders>
              <w:top w:val="nil"/>
              <w:left w:val="nil"/>
              <w:bottom w:val="single" w:sz="4" w:space="0" w:color="auto"/>
              <w:right w:val="single" w:sz="4" w:space="0" w:color="auto"/>
            </w:tcBorders>
            <w:shd w:val="clear" w:color="auto" w:fill="auto"/>
            <w:noWrap/>
            <w:vAlign w:val="center"/>
            <w:hideMark/>
          </w:tcPr>
          <w:p w14:paraId="2D5D6F3F"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9.66 </w:t>
            </w:r>
          </w:p>
        </w:tc>
        <w:tc>
          <w:tcPr>
            <w:tcW w:w="780" w:type="dxa"/>
            <w:tcBorders>
              <w:top w:val="nil"/>
              <w:left w:val="nil"/>
              <w:bottom w:val="single" w:sz="4" w:space="0" w:color="auto"/>
              <w:right w:val="single" w:sz="4" w:space="0" w:color="auto"/>
            </w:tcBorders>
            <w:shd w:val="clear" w:color="auto" w:fill="auto"/>
            <w:noWrap/>
            <w:vAlign w:val="center"/>
            <w:hideMark/>
          </w:tcPr>
          <w:p w14:paraId="748199FA"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9.24 </w:t>
            </w:r>
          </w:p>
        </w:tc>
      </w:tr>
      <w:tr w:rsidR="000976E3" w:rsidRPr="00AB5D68" w14:paraId="785D6F99" w14:textId="77777777" w:rsidTr="007272F1">
        <w:trPr>
          <w:trHeight w:val="270"/>
          <w:jc w:val="center"/>
        </w:trPr>
        <w:tc>
          <w:tcPr>
            <w:tcW w:w="1129" w:type="dxa"/>
            <w:vMerge/>
            <w:tcBorders>
              <w:top w:val="nil"/>
              <w:left w:val="single" w:sz="4" w:space="0" w:color="auto"/>
              <w:bottom w:val="single" w:sz="4" w:space="0" w:color="auto"/>
              <w:right w:val="single" w:sz="4" w:space="0" w:color="auto"/>
            </w:tcBorders>
            <w:vAlign w:val="center"/>
            <w:hideMark/>
          </w:tcPr>
          <w:p w14:paraId="47110761" w14:textId="77777777" w:rsidR="000976E3" w:rsidRPr="00AB5D68" w:rsidRDefault="000976E3" w:rsidP="005E1C68">
            <w:pPr>
              <w:spacing w:after="0"/>
              <w:jc w:val="center"/>
              <w:rPr>
                <w:rFonts w:eastAsia="MS PGothic" w:cs="Arial"/>
                <w:b/>
                <w:bCs/>
                <w:sz w:val="18"/>
                <w:szCs w:val="18"/>
                <w:lang w:eastAsia="ja-JP"/>
              </w:rPr>
            </w:pPr>
          </w:p>
        </w:tc>
        <w:tc>
          <w:tcPr>
            <w:tcW w:w="909" w:type="dxa"/>
            <w:tcBorders>
              <w:top w:val="nil"/>
              <w:left w:val="nil"/>
              <w:bottom w:val="single" w:sz="4" w:space="0" w:color="auto"/>
              <w:right w:val="single" w:sz="4" w:space="0" w:color="auto"/>
            </w:tcBorders>
            <w:shd w:val="clear" w:color="auto" w:fill="auto"/>
            <w:noWrap/>
            <w:vAlign w:val="center"/>
            <w:hideMark/>
          </w:tcPr>
          <w:p w14:paraId="7354F618"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5%-tile</w:t>
            </w:r>
          </w:p>
        </w:tc>
        <w:tc>
          <w:tcPr>
            <w:tcW w:w="780" w:type="dxa"/>
            <w:tcBorders>
              <w:top w:val="nil"/>
              <w:left w:val="nil"/>
              <w:bottom w:val="single" w:sz="4" w:space="0" w:color="auto"/>
              <w:right w:val="single" w:sz="4" w:space="0" w:color="auto"/>
            </w:tcBorders>
            <w:shd w:val="clear" w:color="auto" w:fill="auto"/>
            <w:noWrap/>
            <w:vAlign w:val="center"/>
            <w:hideMark/>
          </w:tcPr>
          <w:p w14:paraId="1D71D91A"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13.79 </w:t>
            </w:r>
          </w:p>
        </w:tc>
        <w:tc>
          <w:tcPr>
            <w:tcW w:w="780" w:type="dxa"/>
            <w:tcBorders>
              <w:top w:val="nil"/>
              <w:left w:val="nil"/>
              <w:bottom w:val="single" w:sz="4" w:space="0" w:color="auto"/>
              <w:right w:val="single" w:sz="4" w:space="0" w:color="auto"/>
            </w:tcBorders>
            <w:shd w:val="clear" w:color="auto" w:fill="auto"/>
            <w:noWrap/>
            <w:vAlign w:val="center"/>
            <w:hideMark/>
          </w:tcPr>
          <w:p w14:paraId="33A280F4"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16.10 </w:t>
            </w:r>
          </w:p>
        </w:tc>
        <w:tc>
          <w:tcPr>
            <w:tcW w:w="780" w:type="dxa"/>
            <w:tcBorders>
              <w:top w:val="nil"/>
              <w:left w:val="nil"/>
              <w:bottom w:val="single" w:sz="4" w:space="0" w:color="auto"/>
              <w:right w:val="single" w:sz="4" w:space="0" w:color="auto"/>
            </w:tcBorders>
            <w:shd w:val="clear" w:color="auto" w:fill="auto"/>
            <w:noWrap/>
            <w:vAlign w:val="center"/>
            <w:hideMark/>
          </w:tcPr>
          <w:p w14:paraId="7C39E78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12.32 </w:t>
            </w:r>
          </w:p>
        </w:tc>
        <w:tc>
          <w:tcPr>
            <w:tcW w:w="780" w:type="dxa"/>
            <w:tcBorders>
              <w:top w:val="nil"/>
              <w:left w:val="nil"/>
              <w:bottom w:val="single" w:sz="4" w:space="0" w:color="auto"/>
              <w:right w:val="single" w:sz="4" w:space="0" w:color="auto"/>
            </w:tcBorders>
            <w:shd w:val="clear" w:color="auto" w:fill="auto"/>
            <w:noWrap/>
            <w:vAlign w:val="center"/>
            <w:hideMark/>
          </w:tcPr>
          <w:p w14:paraId="54752766"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11.41 </w:t>
            </w:r>
          </w:p>
        </w:tc>
        <w:tc>
          <w:tcPr>
            <w:tcW w:w="780" w:type="dxa"/>
            <w:tcBorders>
              <w:top w:val="nil"/>
              <w:left w:val="nil"/>
              <w:bottom w:val="single" w:sz="4" w:space="0" w:color="auto"/>
              <w:right w:val="single" w:sz="4" w:space="0" w:color="auto"/>
            </w:tcBorders>
            <w:shd w:val="clear" w:color="auto" w:fill="auto"/>
            <w:noWrap/>
            <w:vAlign w:val="center"/>
            <w:hideMark/>
          </w:tcPr>
          <w:p w14:paraId="2D7554CA"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8.83 </w:t>
            </w:r>
          </w:p>
        </w:tc>
        <w:tc>
          <w:tcPr>
            <w:tcW w:w="780" w:type="dxa"/>
            <w:tcBorders>
              <w:top w:val="nil"/>
              <w:left w:val="nil"/>
              <w:bottom w:val="single" w:sz="4" w:space="0" w:color="auto"/>
              <w:right w:val="single" w:sz="4" w:space="0" w:color="auto"/>
            </w:tcBorders>
            <w:shd w:val="clear" w:color="auto" w:fill="auto"/>
            <w:noWrap/>
            <w:vAlign w:val="center"/>
            <w:hideMark/>
          </w:tcPr>
          <w:p w14:paraId="09428FF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7.62 </w:t>
            </w:r>
          </w:p>
        </w:tc>
        <w:tc>
          <w:tcPr>
            <w:tcW w:w="780" w:type="dxa"/>
            <w:tcBorders>
              <w:top w:val="nil"/>
              <w:left w:val="nil"/>
              <w:bottom w:val="single" w:sz="4" w:space="0" w:color="auto"/>
              <w:right w:val="single" w:sz="4" w:space="0" w:color="auto"/>
            </w:tcBorders>
            <w:shd w:val="clear" w:color="auto" w:fill="auto"/>
            <w:noWrap/>
            <w:vAlign w:val="center"/>
            <w:hideMark/>
          </w:tcPr>
          <w:p w14:paraId="5999D49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10.68 </w:t>
            </w:r>
          </w:p>
        </w:tc>
        <w:tc>
          <w:tcPr>
            <w:tcW w:w="780" w:type="dxa"/>
            <w:tcBorders>
              <w:top w:val="nil"/>
              <w:left w:val="nil"/>
              <w:bottom w:val="single" w:sz="4" w:space="0" w:color="auto"/>
              <w:right w:val="single" w:sz="4" w:space="0" w:color="auto"/>
            </w:tcBorders>
            <w:shd w:val="clear" w:color="auto" w:fill="auto"/>
            <w:noWrap/>
            <w:vAlign w:val="center"/>
            <w:hideMark/>
          </w:tcPr>
          <w:p w14:paraId="7D7E7BB9"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7.56 </w:t>
            </w:r>
          </w:p>
        </w:tc>
      </w:tr>
      <w:tr w:rsidR="000976E3" w:rsidRPr="00AB5D68" w14:paraId="29368B72" w14:textId="77777777" w:rsidTr="007272F1">
        <w:trPr>
          <w:trHeight w:val="270"/>
          <w:jc w:val="center"/>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338F497A"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China</w:t>
            </w:r>
            <w:r w:rsidRPr="00AB5D68">
              <w:rPr>
                <w:rFonts w:eastAsia="MS PGothic" w:cs="Arial" w:hint="eastAsia"/>
                <w:b/>
                <w:bCs/>
                <w:sz w:val="18"/>
                <w:szCs w:val="18"/>
                <w:lang w:eastAsia="ja-JP"/>
              </w:rPr>
              <w:br/>
              <w:t>Telecom</w:t>
            </w:r>
          </w:p>
        </w:tc>
        <w:tc>
          <w:tcPr>
            <w:tcW w:w="909" w:type="dxa"/>
            <w:tcBorders>
              <w:top w:val="nil"/>
              <w:left w:val="nil"/>
              <w:bottom w:val="single" w:sz="4" w:space="0" w:color="auto"/>
              <w:right w:val="single" w:sz="4" w:space="0" w:color="auto"/>
            </w:tcBorders>
            <w:shd w:val="clear" w:color="auto" w:fill="auto"/>
            <w:noWrap/>
            <w:vAlign w:val="center"/>
            <w:hideMark/>
          </w:tcPr>
          <w:p w14:paraId="1B02A1C4"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Average</w:t>
            </w:r>
          </w:p>
        </w:tc>
        <w:tc>
          <w:tcPr>
            <w:tcW w:w="780" w:type="dxa"/>
            <w:tcBorders>
              <w:top w:val="nil"/>
              <w:left w:val="nil"/>
              <w:bottom w:val="single" w:sz="4" w:space="0" w:color="auto"/>
              <w:right w:val="single" w:sz="4" w:space="0" w:color="auto"/>
            </w:tcBorders>
            <w:shd w:val="clear" w:color="auto" w:fill="auto"/>
            <w:noWrap/>
            <w:vAlign w:val="center"/>
            <w:hideMark/>
          </w:tcPr>
          <w:p w14:paraId="4F04AAE1"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011C48F1"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3526F8C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14.11 </w:t>
            </w:r>
          </w:p>
        </w:tc>
        <w:tc>
          <w:tcPr>
            <w:tcW w:w="780" w:type="dxa"/>
            <w:tcBorders>
              <w:top w:val="nil"/>
              <w:left w:val="nil"/>
              <w:bottom w:val="single" w:sz="4" w:space="0" w:color="auto"/>
              <w:right w:val="single" w:sz="4" w:space="0" w:color="auto"/>
            </w:tcBorders>
            <w:shd w:val="clear" w:color="auto" w:fill="auto"/>
            <w:noWrap/>
            <w:vAlign w:val="center"/>
            <w:hideMark/>
          </w:tcPr>
          <w:p w14:paraId="3323B39B"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14.06 </w:t>
            </w:r>
          </w:p>
        </w:tc>
        <w:tc>
          <w:tcPr>
            <w:tcW w:w="780" w:type="dxa"/>
            <w:tcBorders>
              <w:top w:val="nil"/>
              <w:left w:val="nil"/>
              <w:bottom w:val="single" w:sz="4" w:space="0" w:color="auto"/>
              <w:right w:val="single" w:sz="4" w:space="0" w:color="auto"/>
            </w:tcBorders>
            <w:shd w:val="clear" w:color="auto" w:fill="auto"/>
            <w:noWrap/>
            <w:vAlign w:val="center"/>
            <w:hideMark/>
          </w:tcPr>
          <w:p w14:paraId="7BAE0C3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16.57 </w:t>
            </w:r>
          </w:p>
        </w:tc>
        <w:tc>
          <w:tcPr>
            <w:tcW w:w="780" w:type="dxa"/>
            <w:tcBorders>
              <w:top w:val="nil"/>
              <w:left w:val="nil"/>
              <w:bottom w:val="single" w:sz="4" w:space="0" w:color="auto"/>
              <w:right w:val="single" w:sz="4" w:space="0" w:color="auto"/>
            </w:tcBorders>
            <w:shd w:val="clear" w:color="auto" w:fill="auto"/>
            <w:noWrap/>
            <w:vAlign w:val="center"/>
            <w:hideMark/>
          </w:tcPr>
          <w:p w14:paraId="5F16DC4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16.53 </w:t>
            </w:r>
          </w:p>
        </w:tc>
        <w:tc>
          <w:tcPr>
            <w:tcW w:w="780" w:type="dxa"/>
            <w:tcBorders>
              <w:top w:val="nil"/>
              <w:left w:val="nil"/>
              <w:bottom w:val="single" w:sz="4" w:space="0" w:color="auto"/>
              <w:right w:val="single" w:sz="4" w:space="0" w:color="auto"/>
            </w:tcBorders>
            <w:shd w:val="clear" w:color="auto" w:fill="auto"/>
            <w:noWrap/>
            <w:vAlign w:val="center"/>
            <w:hideMark/>
          </w:tcPr>
          <w:p w14:paraId="0B0D66A3"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1C2742B3"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r>
      <w:tr w:rsidR="000976E3" w:rsidRPr="00AB5D68" w14:paraId="548CA0AF" w14:textId="77777777" w:rsidTr="007272F1">
        <w:trPr>
          <w:trHeight w:val="270"/>
          <w:jc w:val="center"/>
        </w:trPr>
        <w:tc>
          <w:tcPr>
            <w:tcW w:w="1129" w:type="dxa"/>
            <w:vMerge/>
            <w:tcBorders>
              <w:top w:val="nil"/>
              <w:left w:val="single" w:sz="4" w:space="0" w:color="auto"/>
              <w:bottom w:val="single" w:sz="4" w:space="0" w:color="auto"/>
              <w:right w:val="single" w:sz="4" w:space="0" w:color="auto"/>
            </w:tcBorders>
            <w:vAlign w:val="center"/>
            <w:hideMark/>
          </w:tcPr>
          <w:p w14:paraId="2C9053A8" w14:textId="77777777" w:rsidR="000976E3" w:rsidRPr="00AB5D68" w:rsidRDefault="000976E3" w:rsidP="005E1C68">
            <w:pPr>
              <w:spacing w:after="0"/>
              <w:jc w:val="center"/>
              <w:rPr>
                <w:rFonts w:eastAsia="MS PGothic" w:cs="Arial"/>
                <w:b/>
                <w:bCs/>
                <w:sz w:val="18"/>
                <w:szCs w:val="18"/>
                <w:lang w:eastAsia="ja-JP"/>
              </w:rPr>
            </w:pPr>
          </w:p>
        </w:tc>
        <w:tc>
          <w:tcPr>
            <w:tcW w:w="909" w:type="dxa"/>
            <w:tcBorders>
              <w:top w:val="nil"/>
              <w:left w:val="nil"/>
              <w:bottom w:val="single" w:sz="4" w:space="0" w:color="auto"/>
              <w:right w:val="single" w:sz="4" w:space="0" w:color="auto"/>
            </w:tcBorders>
            <w:shd w:val="clear" w:color="auto" w:fill="auto"/>
            <w:noWrap/>
            <w:vAlign w:val="center"/>
            <w:hideMark/>
          </w:tcPr>
          <w:p w14:paraId="37E61332"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5%-tile</w:t>
            </w:r>
          </w:p>
        </w:tc>
        <w:tc>
          <w:tcPr>
            <w:tcW w:w="780" w:type="dxa"/>
            <w:tcBorders>
              <w:top w:val="nil"/>
              <w:left w:val="nil"/>
              <w:bottom w:val="single" w:sz="4" w:space="0" w:color="auto"/>
              <w:right w:val="single" w:sz="4" w:space="0" w:color="auto"/>
            </w:tcBorders>
            <w:shd w:val="clear" w:color="auto" w:fill="auto"/>
            <w:noWrap/>
            <w:vAlign w:val="center"/>
            <w:hideMark/>
          </w:tcPr>
          <w:p w14:paraId="107B43BA"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63E1F2E3"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6E2FD0C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20.80 </w:t>
            </w:r>
          </w:p>
        </w:tc>
        <w:tc>
          <w:tcPr>
            <w:tcW w:w="780" w:type="dxa"/>
            <w:tcBorders>
              <w:top w:val="nil"/>
              <w:left w:val="nil"/>
              <w:bottom w:val="single" w:sz="4" w:space="0" w:color="auto"/>
              <w:right w:val="single" w:sz="4" w:space="0" w:color="auto"/>
            </w:tcBorders>
            <w:shd w:val="clear" w:color="auto" w:fill="auto"/>
            <w:noWrap/>
            <w:vAlign w:val="center"/>
            <w:hideMark/>
          </w:tcPr>
          <w:p w14:paraId="3B68FB6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20.04 </w:t>
            </w:r>
          </w:p>
        </w:tc>
        <w:tc>
          <w:tcPr>
            <w:tcW w:w="780" w:type="dxa"/>
            <w:tcBorders>
              <w:top w:val="nil"/>
              <w:left w:val="nil"/>
              <w:bottom w:val="single" w:sz="4" w:space="0" w:color="auto"/>
              <w:right w:val="single" w:sz="4" w:space="0" w:color="auto"/>
            </w:tcBorders>
            <w:shd w:val="clear" w:color="auto" w:fill="auto"/>
            <w:noWrap/>
            <w:vAlign w:val="center"/>
            <w:hideMark/>
          </w:tcPr>
          <w:p w14:paraId="458125D6"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26.47 </w:t>
            </w:r>
          </w:p>
        </w:tc>
        <w:tc>
          <w:tcPr>
            <w:tcW w:w="780" w:type="dxa"/>
            <w:tcBorders>
              <w:top w:val="nil"/>
              <w:left w:val="nil"/>
              <w:bottom w:val="single" w:sz="4" w:space="0" w:color="auto"/>
              <w:right w:val="single" w:sz="4" w:space="0" w:color="auto"/>
            </w:tcBorders>
            <w:shd w:val="clear" w:color="auto" w:fill="auto"/>
            <w:noWrap/>
            <w:vAlign w:val="center"/>
            <w:hideMark/>
          </w:tcPr>
          <w:p w14:paraId="06955BE9"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26.13 </w:t>
            </w:r>
          </w:p>
        </w:tc>
        <w:tc>
          <w:tcPr>
            <w:tcW w:w="780" w:type="dxa"/>
            <w:tcBorders>
              <w:top w:val="nil"/>
              <w:left w:val="nil"/>
              <w:bottom w:val="single" w:sz="4" w:space="0" w:color="auto"/>
              <w:right w:val="single" w:sz="4" w:space="0" w:color="auto"/>
            </w:tcBorders>
            <w:shd w:val="clear" w:color="auto" w:fill="auto"/>
            <w:noWrap/>
            <w:vAlign w:val="center"/>
            <w:hideMark/>
          </w:tcPr>
          <w:p w14:paraId="2AF3B2F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622585D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r>
      <w:tr w:rsidR="000976E3" w:rsidRPr="00AB5D68" w14:paraId="7257E4B8" w14:textId="77777777" w:rsidTr="007272F1">
        <w:trPr>
          <w:trHeight w:val="270"/>
          <w:jc w:val="center"/>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FD4506"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Huawei</w:t>
            </w:r>
          </w:p>
        </w:tc>
        <w:tc>
          <w:tcPr>
            <w:tcW w:w="909" w:type="dxa"/>
            <w:tcBorders>
              <w:top w:val="nil"/>
              <w:left w:val="nil"/>
              <w:bottom w:val="single" w:sz="4" w:space="0" w:color="auto"/>
              <w:right w:val="single" w:sz="4" w:space="0" w:color="auto"/>
            </w:tcBorders>
            <w:shd w:val="clear" w:color="auto" w:fill="auto"/>
            <w:noWrap/>
            <w:vAlign w:val="center"/>
            <w:hideMark/>
          </w:tcPr>
          <w:p w14:paraId="5C4DBCC9"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Average</w:t>
            </w:r>
          </w:p>
        </w:tc>
        <w:tc>
          <w:tcPr>
            <w:tcW w:w="780" w:type="dxa"/>
            <w:tcBorders>
              <w:top w:val="nil"/>
              <w:left w:val="nil"/>
              <w:bottom w:val="single" w:sz="4" w:space="0" w:color="auto"/>
              <w:right w:val="single" w:sz="4" w:space="0" w:color="auto"/>
            </w:tcBorders>
            <w:shd w:val="clear" w:color="auto" w:fill="auto"/>
            <w:noWrap/>
            <w:vAlign w:val="center"/>
            <w:hideMark/>
          </w:tcPr>
          <w:p w14:paraId="2D50616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15.72 </w:t>
            </w:r>
          </w:p>
        </w:tc>
        <w:tc>
          <w:tcPr>
            <w:tcW w:w="780" w:type="dxa"/>
            <w:tcBorders>
              <w:top w:val="nil"/>
              <w:left w:val="nil"/>
              <w:bottom w:val="single" w:sz="4" w:space="0" w:color="auto"/>
              <w:right w:val="single" w:sz="4" w:space="0" w:color="auto"/>
            </w:tcBorders>
            <w:shd w:val="clear" w:color="auto" w:fill="auto"/>
            <w:noWrap/>
            <w:vAlign w:val="center"/>
            <w:hideMark/>
          </w:tcPr>
          <w:p w14:paraId="7FB5AC51"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15.72 </w:t>
            </w:r>
          </w:p>
        </w:tc>
        <w:tc>
          <w:tcPr>
            <w:tcW w:w="780" w:type="dxa"/>
            <w:tcBorders>
              <w:top w:val="nil"/>
              <w:left w:val="nil"/>
              <w:bottom w:val="single" w:sz="4" w:space="0" w:color="auto"/>
              <w:right w:val="single" w:sz="4" w:space="0" w:color="auto"/>
            </w:tcBorders>
            <w:shd w:val="clear" w:color="auto" w:fill="auto"/>
            <w:noWrap/>
            <w:vAlign w:val="center"/>
            <w:hideMark/>
          </w:tcPr>
          <w:p w14:paraId="77A0A1F3"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13.57 </w:t>
            </w:r>
          </w:p>
        </w:tc>
        <w:tc>
          <w:tcPr>
            <w:tcW w:w="780" w:type="dxa"/>
            <w:tcBorders>
              <w:top w:val="nil"/>
              <w:left w:val="nil"/>
              <w:bottom w:val="single" w:sz="4" w:space="0" w:color="auto"/>
              <w:right w:val="single" w:sz="4" w:space="0" w:color="auto"/>
            </w:tcBorders>
            <w:shd w:val="clear" w:color="auto" w:fill="auto"/>
            <w:noWrap/>
            <w:vAlign w:val="center"/>
            <w:hideMark/>
          </w:tcPr>
          <w:p w14:paraId="6871D14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13.53 </w:t>
            </w:r>
          </w:p>
        </w:tc>
        <w:tc>
          <w:tcPr>
            <w:tcW w:w="780" w:type="dxa"/>
            <w:tcBorders>
              <w:top w:val="nil"/>
              <w:left w:val="nil"/>
              <w:bottom w:val="single" w:sz="4" w:space="0" w:color="auto"/>
              <w:right w:val="single" w:sz="4" w:space="0" w:color="auto"/>
            </w:tcBorders>
            <w:shd w:val="clear" w:color="auto" w:fill="auto"/>
            <w:noWrap/>
            <w:vAlign w:val="center"/>
            <w:hideMark/>
          </w:tcPr>
          <w:p w14:paraId="717751B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15.95 </w:t>
            </w:r>
          </w:p>
        </w:tc>
        <w:tc>
          <w:tcPr>
            <w:tcW w:w="780" w:type="dxa"/>
            <w:tcBorders>
              <w:top w:val="nil"/>
              <w:left w:val="nil"/>
              <w:bottom w:val="single" w:sz="4" w:space="0" w:color="auto"/>
              <w:right w:val="single" w:sz="4" w:space="0" w:color="auto"/>
            </w:tcBorders>
            <w:shd w:val="clear" w:color="auto" w:fill="auto"/>
            <w:noWrap/>
            <w:vAlign w:val="center"/>
            <w:hideMark/>
          </w:tcPr>
          <w:p w14:paraId="09868BB0"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15.83 </w:t>
            </w:r>
          </w:p>
        </w:tc>
        <w:tc>
          <w:tcPr>
            <w:tcW w:w="780" w:type="dxa"/>
            <w:tcBorders>
              <w:top w:val="nil"/>
              <w:left w:val="nil"/>
              <w:bottom w:val="single" w:sz="4" w:space="0" w:color="auto"/>
              <w:right w:val="single" w:sz="4" w:space="0" w:color="auto"/>
            </w:tcBorders>
            <w:shd w:val="clear" w:color="auto" w:fill="auto"/>
            <w:noWrap/>
            <w:vAlign w:val="center"/>
            <w:hideMark/>
          </w:tcPr>
          <w:p w14:paraId="09A9870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7.10 </w:t>
            </w:r>
          </w:p>
        </w:tc>
        <w:tc>
          <w:tcPr>
            <w:tcW w:w="780" w:type="dxa"/>
            <w:tcBorders>
              <w:top w:val="nil"/>
              <w:left w:val="nil"/>
              <w:bottom w:val="single" w:sz="4" w:space="0" w:color="auto"/>
              <w:right w:val="single" w:sz="4" w:space="0" w:color="auto"/>
            </w:tcBorders>
            <w:shd w:val="clear" w:color="auto" w:fill="auto"/>
            <w:noWrap/>
            <w:vAlign w:val="center"/>
            <w:hideMark/>
          </w:tcPr>
          <w:p w14:paraId="47ADD1D6"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6.83 </w:t>
            </w:r>
          </w:p>
        </w:tc>
      </w:tr>
      <w:tr w:rsidR="000976E3" w:rsidRPr="00AB5D68" w14:paraId="35CD3F2D" w14:textId="77777777" w:rsidTr="007272F1">
        <w:trPr>
          <w:trHeight w:val="270"/>
          <w:jc w:val="center"/>
        </w:trPr>
        <w:tc>
          <w:tcPr>
            <w:tcW w:w="1129" w:type="dxa"/>
            <w:vMerge/>
            <w:tcBorders>
              <w:top w:val="nil"/>
              <w:left w:val="single" w:sz="4" w:space="0" w:color="auto"/>
              <w:bottom w:val="single" w:sz="4" w:space="0" w:color="auto"/>
              <w:right w:val="single" w:sz="4" w:space="0" w:color="auto"/>
            </w:tcBorders>
            <w:vAlign w:val="center"/>
            <w:hideMark/>
          </w:tcPr>
          <w:p w14:paraId="30EE48DA" w14:textId="77777777" w:rsidR="000976E3" w:rsidRPr="00AB5D68" w:rsidRDefault="000976E3" w:rsidP="005E1C68">
            <w:pPr>
              <w:spacing w:after="0"/>
              <w:jc w:val="center"/>
              <w:rPr>
                <w:rFonts w:eastAsia="MS PGothic" w:cs="Arial"/>
                <w:b/>
                <w:bCs/>
                <w:sz w:val="18"/>
                <w:szCs w:val="18"/>
                <w:lang w:eastAsia="ja-JP"/>
              </w:rPr>
            </w:pPr>
          </w:p>
        </w:tc>
        <w:tc>
          <w:tcPr>
            <w:tcW w:w="909" w:type="dxa"/>
            <w:tcBorders>
              <w:top w:val="nil"/>
              <w:left w:val="nil"/>
              <w:bottom w:val="single" w:sz="4" w:space="0" w:color="auto"/>
              <w:right w:val="single" w:sz="4" w:space="0" w:color="auto"/>
            </w:tcBorders>
            <w:shd w:val="clear" w:color="auto" w:fill="auto"/>
            <w:noWrap/>
            <w:vAlign w:val="center"/>
            <w:hideMark/>
          </w:tcPr>
          <w:p w14:paraId="406D9D26"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5%-tile</w:t>
            </w:r>
          </w:p>
        </w:tc>
        <w:tc>
          <w:tcPr>
            <w:tcW w:w="780" w:type="dxa"/>
            <w:tcBorders>
              <w:top w:val="nil"/>
              <w:left w:val="nil"/>
              <w:bottom w:val="single" w:sz="4" w:space="0" w:color="auto"/>
              <w:right w:val="single" w:sz="4" w:space="0" w:color="auto"/>
            </w:tcBorders>
            <w:shd w:val="clear" w:color="auto" w:fill="auto"/>
            <w:noWrap/>
            <w:vAlign w:val="center"/>
            <w:hideMark/>
          </w:tcPr>
          <w:p w14:paraId="48329F5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14.47 </w:t>
            </w:r>
          </w:p>
        </w:tc>
        <w:tc>
          <w:tcPr>
            <w:tcW w:w="780" w:type="dxa"/>
            <w:tcBorders>
              <w:top w:val="nil"/>
              <w:left w:val="nil"/>
              <w:bottom w:val="single" w:sz="4" w:space="0" w:color="auto"/>
              <w:right w:val="single" w:sz="4" w:space="0" w:color="auto"/>
            </w:tcBorders>
            <w:shd w:val="clear" w:color="auto" w:fill="auto"/>
            <w:noWrap/>
            <w:vAlign w:val="center"/>
            <w:hideMark/>
          </w:tcPr>
          <w:p w14:paraId="59185D1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14.47 </w:t>
            </w:r>
          </w:p>
        </w:tc>
        <w:tc>
          <w:tcPr>
            <w:tcW w:w="780" w:type="dxa"/>
            <w:tcBorders>
              <w:top w:val="nil"/>
              <w:left w:val="nil"/>
              <w:bottom w:val="single" w:sz="4" w:space="0" w:color="auto"/>
              <w:right w:val="single" w:sz="4" w:space="0" w:color="auto"/>
            </w:tcBorders>
            <w:shd w:val="clear" w:color="auto" w:fill="auto"/>
            <w:noWrap/>
            <w:vAlign w:val="center"/>
            <w:hideMark/>
          </w:tcPr>
          <w:p w14:paraId="16B939CB"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23.38 </w:t>
            </w:r>
          </w:p>
        </w:tc>
        <w:tc>
          <w:tcPr>
            <w:tcW w:w="780" w:type="dxa"/>
            <w:tcBorders>
              <w:top w:val="nil"/>
              <w:left w:val="nil"/>
              <w:bottom w:val="single" w:sz="4" w:space="0" w:color="auto"/>
              <w:right w:val="single" w:sz="4" w:space="0" w:color="auto"/>
            </w:tcBorders>
            <w:shd w:val="clear" w:color="auto" w:fill="auto"/>
            <w:noWrap/>
            <w:vAlign w:val="center"/>
            <w:hideMark/>
          </w:tcPr>
          <w:p w14:paraId="5AEAD7D1"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22.22 </w:t>
            </w:r>
          </w:p>
        </w:tc>
        <w:tc>
          <w:tcPr>
            <w:tcW w:w="780" w:type="dxa"/>
            <w:tcBorders>
              <w:top w:val="nil"/>
              <w:left w:val="nil"/>
              <w:bottom w:val="single" w:sz="4" w:space="0" w:color="auto"/>
              <w:right w:val="single" w:sz="4" w:space="0" w:color="auto"/>
            </w:tcBorders>
            <w:shd w:val="clear" w:color="auto" w:fill="auto"/>
            <w:noWrap/>
            <w:vAlign w:val="center"/>
            <w:hideMark/>
          </w:tcPr>
          <w:p w14:paraId="7E665A2B"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25.52 </w:t>
            </w:r>
          </w:p>
        </w:tc>
        <w:tc>
          <w:tcPr>
            <w:tcW w:w="780" w:type="dxa"/>
            <w:tcBorders>
              <w:top w:val="nil"/>
              <w:left w:val="nil"/>
              <w:bottom w:val="single" w:sz="4" w:space="0" w:color="auto"/>
              <w:right w:val="single" w:sz="4" w:space="0" w:color="auto"/>
            </w:tcBorders>
            <w:shd w:val="clear" w:color="auto" w:fill="auto"/>
            <w:noWrap/>
            <w:vAlign w:val="center"/>
            <w:hideMark/>
          </w:tcPr>
          <w:p w14:paraId="379E1D61"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26.34 </w:t>
            </w:r>
          </w:p>
        </w:tc>
        <w:tc>
          <w:tcPr>
            <w:tcW w:w="780" w:type="dxa"/>
            <w:tcBorders>
              <w:top w:val="nil"/>
              <w:left w:val="nil"/>
              <w:bottom w:val="single" w:sz="4" w:space="0" w:color="auto"/>
              <w:right w:val="single" w:sz="4" w:space="0" w:color="auto"/>
            </w:tcBorders>
            <w:shd w:val="clear" w:color="auto" w:fill="auto"/>
            <w:noWrap/>
            <w:vAlign w:val="center"/>
            <w:hideMark/>
          </w:tcPr>
          <w:p w14:paraId="47D9F28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11.92 </w:t>
            </w:r>
          </w:p>
        </w:tc>
        <w:tc>
          <w:tcPr>
            <w:tcW w:w="780" w:type="dxa"/>
            <w:tcBorders>
              <w:top w:val="nil"/>
              <w:left w:val="nil"/>
              <w:bottom w:val="single" w:sz="4" w:space="0" w:color="auto"/>
              <w:right w:val="single" w:sz="4" w:space="0" w:color="auto"/>
            </w:tcBorders>
            <w:shd w:val="clear" w:color="auto" w:fill="auto"/>
            <w:noWrap/>
            <w:vAlign w:val="center"/>
            <w:hideMark/>
          </w:tcPr>
          <w:p w14:paraId="0F39C1D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12.73 </w:t>
            </w:r>
          </w:p>
        </w:tc>
      </w:tr>
      <w:tr w:rsidR="000976E3" w:rsidRPr="00AB5D68" w14:paraId="7620D26F" w14:textId="77777777" w:rsidTr="007272F1">
        <w:trPr>
          <w:trHeight w:val="270"/>
          <w:jc w:val="center"/>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FD696E"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ZTE</w:t>
            </w:r>
          </w:p>
        </w:tc>
        <w:tc>
          <w:tcPr>
            <w:tcW w:w="909" w:type="dxa"/>
            <w:tcBorders>
              <w:top w:val="nil"/>
              <w:left w:val="nil"/>
              <w:bottom w:val="single" w:sz="4" w:space="0" w:color="auto"/>
              <w:right w:val="single" w:sz="4" w:space="0" w:color="auto"/>
            </w:tcBorders>
            <w:shd w:val="clear" w:color="auto" w:fill="auto"/>
            <w:noWrap/>
            <w:vAlign w:val="center"/>
            <w:hideMark/>
          </w:tcPr>
          <w:p w14:paraId="1DC270C3"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Average</w:t>
            </w:r>
          </w:p>
        </w:tc>
        <w:tc>
          <w:tcPr>
            <w:tcW w:w="780" w:type="dxa"/>
            <w:tcBorders>
              <w:top w:val="nil"/>
              <w:left w:val="nil"/>
              <w:bottom w:val="single" w:sz="4" w:space="0" w:color="auto"/>
              <w:right w:val="single" w:sz="4" w:space="0" w:color="auto"/>
            </w:tcBorders>
            <w:shd w:val="clear" w:color="auto" w:fill="auto"/>
            <w:noWrap/>
            <w:vAlign w:val="center"/>
            <w:hideMark/>
          </w:tcPr>
          <w:p w14:paraId="476CAD79"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16.21 </w:t>
            </w:r>
          </w:p>
        </w:tc>
        <w:tc>
          <w:tcPr>
            <w:tcW w:w="780" w:type="dxa"/>
            <w:tcBorders>
              <w:top w:val="nil"/>
              <w:left w:val="nil"/>
              <w:bottom w:val="single" w:sz="4" w:space="0" w:color="auto"/>
              <w:right w:val="single" w:sz="4" w:space="0" w:color="auto"/>
            </w:tcBorders>
            <w:shd w:val="clear" w:color="auto" w:fill="auto"/>
            <w:noWrap/>
            <w:vAlign w:val="center"/>
            <w:hideMark/>
          </w:tcPr>
          <w:p w14:paraId="2F47E37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16.23 </w:t>
            </w:r>
          </w:p>
        </w:tc>
        <w:tc>
          <w:tcPr>
            <w:tcW w:w="780" w:type="dxa"/>
            <w:tcBorders>
              <w:top w:val="nil"/>
              <w:left w:val="nil"/>
              <w:bottom w:val="single" w:sz="4" w:space="0" w:color="auto"/>
              <w:right w:val="single" w:sz="4" w:space="0" w:color="auto"/>
            </w:tcBorders>
            <w:shd w:val="clear" w:color="auto" w:fill="auto"/>
            <w:noWrap/>
            <w:vAlign w:val="center"/>
            <w:hideMark/>
          </w:tcPr>
          <w:p w14:paraId="73EECE6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9.19 </w:t>
            </w:r>
          </w:p>
        </w:tc>
        <w:tc>
          <w:tcPr>
            <w:tcW w:w="780" w:type="dxa"/>
            <w:tcBorders>
              <w:top w:val="nil"/>
              <w:left w:val="nil"/>
              <w:bottom w:val="single" w:sz="4" w:space="0" w:color="auto"/>
              <w:right w:val="single" w:sz="4" w:space="0" w:color="auto"/>
            </w:tcBorders>
            <w:shd w:val="clear" w:color="auto" w:fill="auto"/>
            <w:noWrap/>
            <w:vAlign w:val="center"/>
            <w:hideMark/>
          </w:tcPr>
          <w:p w14:paraId="2B724F9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9.43 </w:t>
            </w:r>
          </w:p>
        </w:tc>
        <w:tc>
          <w:tcPr>
            <w:tcW w:w="780" w:type="dxa"/>
            <w:tcBorders>
              <w:top w:val="nil"/>
              <w:left w:val="nil"/>
              <w:bottom w:val="single" w:sz="4" w:space="0" w:color="auto"/>
              <w:right w:val="single" w:sz="4" w:space="0" w:color="auto"/>
            </w:tcBorders>
            <w:shd w:val="clear" w:color="auto" w:fill="auto"/>
            <w:noWrap/>
            <w:vAlign w:val="center"/>
            <w:hideMark/>
          </w:tcPr>
          <w:p w14:paraId="5B652B66"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533EE170"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2E5B696B"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5.05 </w:t>
            </w:r>
          </w:p>
        </w:tc>
        <w:tc>
          <w:tcPr>
            <w:tcW w:w="780" w:type="dxa"/>
            <w:tcBorders>
              <w:top w:val="nil"/>
              <w:left w:val="nil"/>
              <w:bottom w:val="single" w:sz="4" w:space="0" w:color="auto"/>
              <w:right w:val="single" w:sz="4" w:space="0" w:color="auto"/>
            </w:tcBorders>
            <w:shd w:val="clear" w:color="auto" w:fill="auto"/>
            <w:noWrap/>
            <w:vAlign w:val="center"/>
            <w:hideMark/>
          </w:tcPr>
          <w:p w14:paraId="03E7FEA6"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5.49 </w:t>
            </w:r>
          </w:p>
        </w:tc>
      </w:tr>
      <w:tr w:rsidR="000976E3" w:rsidRPr="00AB5D68" w14:paraId="001AC453" w14:textId="77777777" w:rsidTr="007272F1">
        <w:trPr>
          <w:trHeight w:val="270"/>
          <w:jc w:val="center"/>
        </w:trPr>
        <w:tc>
          <w:tcPr>
            <w:tcW w:w="1129" w:type="dxa"/>
            <w:vMerge/>
            <w:tcBorders>
              <w:top w:val="nil"/>
              <w:left w:val="single" w:sz="4" w:space="0" w:color="auto"/>
              <w:bottom w:val="single" w:sz="4" w:space="0" w:color="auto"/>
              <w:right w:val="single" w:sz="4" w:space="0" w:color="auto"/>
            </w:tcBorders>
            <w:vAlign w:val="center"/>
            <w:hideMark/>
          </w:tcPr>
          <w:p w14:paraId="6435EC00" w14:textId="77777777" w:rsidR="000976E3" w:rsidRPr="00AB5D68" w:rsidRDefault="000976E3" w:rsidP="005E1C68">
            <w:pPr>
              <w:spacing w:after="0"/>
              <w:jc w:val="center"/>
              <w:rPr>
                <w:rFonts w:eastAsia="MS PGothic" w:cs="Arial"/>
                <w:b/>
                <w:bCs/>
                <w:sz w:val="18"/>
                <w:szCs w:val="18"/>
                <w:lang w:eastAsia="ja-JP"/>
              </w:rPr>
            </w:pPr>
          </w:p>
        </w:tc>
        <w:tc>
          <w:tcPr>
            <w:tcW w:w="909" w:type="dxa"/>
            <w:tcBorders>
              <w:top w:val="nil"/>
              <w:left w:val="nil"/>
              <w:bottom w:val="single" w:sz="4" w:space="0" w:color="auto"/>
              <w:right w:val="single" w:sz="4" w:space="0" w:color="auto"/>
            </w:tcBorders>
            <w:shd w:val="clear" w:color="auto" w:fill="auto"/>
            <w:noWrap/>
            <w:vAlign w:val="center"/>
            <w:hideMark/>
          </w:tcPr>
          <w:p w14:paraId="03ABA9A0"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5%-tile</w:t>
            </w:r>
          </w:p>
        </w:tc>
        <w:tc>
          <w:tcPr>
            <w:tcW w:w="780" w:type="dxa"/>
            <w:tcBorders>
              <w:top w:val="nil"/>
              <w:left w:val="nil"/>
              <w:bottom w:val="single" w:sz="4" w:space="0" w:color="auto"/>
              <w:right w:val="single" w:sz="4" w:space="0" w:color="auto"/>
            </w:tcBorders>
            <w:shd w:val="clear" w:color="auto" w:fill="auto"/>
            <w:noWrap/>
            <w:vAlign w:val="center"/>
            <w:hideMark/>
          </w:tcPr>
          <w:p w14:paraId="6B9708A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14.75 </w:t>
            </w:r>
          </w:p>
        </w:tc>
        <w:tc>
          <w:tcPr>
            <w:tcW w:w="780" w:type="dxa"/>
            <w:tcBorders>
              <w:top w:val="nil"/>
              <w:left w:val="nil"/>
              <w:bottom w:val="single" w:sz="4" w:space="0" w:color="auto"/>
              <w:right w:val="single" w:sz="4" w:space="0" w:color="auto"/>
            </w:tcBorders>
            <w:shd w:val="clear" w:color="auto" w:fill="auto"/>
            <w:noWrap/>
            <w:vAlign w:val="center"/>
            <w:hideMark/>
          </w:tcPr>
          <w:p w14:paraId="1C3320D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15.92 </w:t>
            </w:r>
          </w:p>
        </w:tc>
        <w:tc>
          <w:tcPr>
            <w:tcW w:w="780" w:type="dxa"/>
            <w:tcBorders>
              <w:top w:val="nil"/>
              <w:left w:val="nil"/>
              <w:bottom w:val="single" w:sz="4" w:space="0" w:color="auto"/>
              <w:right w:val="single" w:sz="4" w:space="0" w:color="auto"/>
            </w:tcBorders>
            <w:shd w:val="clear" w:color="auto" w:fill="auto"/>
            <w:noWrap/>
            <w:vAlign w:val="center"/>
            <w:hideMark/>
          </w:tcPr>
          <w:p w14:paraId="707ED66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24.79 </w:t>
            </w:r>
          </w:p>
        </w:tc>
        <w:tc>
          <w:tcPr>
            <w:tcW w:w="780" w:type="dxa"/>
            <w:tcBorders>
              <w:top w:val="nil"/>
              <w:left w:val="nil"/>
              <w:bottom w:val="single" w:sz="4" w:space="0" w:color="auto"/>
              <w:right w:val="single" w:sz="4" w:space="0" w:color="auto"/>
            </w:tcBorders>
            <w:shd w:val="clear" w:color="auto" w:fill="auto"/>
            <w:noWrap/>
            <w:vAlign w:val="center"/>
            <w:hideMark/>
          </w:tcPr>
          <w:p w14:paraId="4CF41D83"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27.89 </w:t>
            </w:r>
          </w:p>
        </w:tc>
        <w:tc>
          <w:tcPr>
            <w:tcW w:w="780" w:type="dxa"/>
            <w:tcBorders>
              <w:top w:val="nil"/>
              <w:left w:val="nil"/>
              <w:bottom w:val="single" w:sz="4" w:space="0" w:color="auto"/>
              <w:right w:val="single" w:sz="4" w:space="0" w:color="auto"/>
            </w:tcBorders>
            <w:shd w:val="clear" w:color="auto" w:fill="auto"/>
            <w:noWrap/>
            <w:vAlign w:val="center"/>
            <w:hideMark/>
          </w:tcPr>
          <w:p w14:paraId="4C1CFA3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0EB8D339"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638BFC1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18.81 </w:t>
            </w:r>
          </w:p>
        </w:tc>
        <w:tc>
          <w:tcPr>
            <w:tcW w:w="780" w:type="dxa"/>
            <w:tcBorders>
              <w:top w:val="nil"/>
              <w:left w:val="nil"/>
              <w:bottom w:val="single" w:sz="4" w:space="0" w:color="auto"/>
              <w:right w:val="single" w:sz="4" w:space="0" w:color="auto"/>
            </w:tcBorders>
            <w:shd w:val="clear" w:color="auto" w:fill="auto"/>
            <w:noWrap/>
            <w:vAlign w:val="center"/>
            <w:hideMark/>
          </w:tcPr>
          <w:p w14:paraId="0C53A62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17.17 </w:t>
            </w:r>
          </w:p>
        </w:tc>
      </w:tr>
      <w:tr w:rsidR="000976E3" w:rsidRPr="00AB5D68" w14:paraId="3C8FB7A2" w14:textId="77777777" w:rsidTr="007272F1">
        <w:trPr>
          <w:trHeight w:val="270"/>
          <w:jc w:val="center"/>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EA4B91"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Samsung</w:t>
            </w:r>
          </w:p>
        </w:tc>
        <w:tc>
          <w:tcPr>
            <w:tcW w:w="909" w:type="dxa"/>
            <w:tcBorders>
              <w:top w:val="nil"/>
              <w:left w:val="nil"/>
              <w:bottom w:val="single" w:sz="4" w:space="0" w:color="auto"/>
              <w:right w:val="single" w:sz="4" w:space="0" w:color="auto"/>
            </w:tcBorders>
            <w:shd w:val="clear" w:color="auto" w:fill="auto"/>
            <w:noWrap/>
            <w:vAlign w:val="center"/>
            <w:hideMark/>
          </w:tcPr>
          <w:p w14:paraId="4061C1FC"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Average</w:t>
            </w:r>
          </w:p>
        </w:tc>
        <w:tc>
          <w:tcPr>
            <w:tcW w:w="780" w:type="dxa"/>
            <w:tcBorders>
              <w:top w:val="nil"/>
              <w:left w:val="nil"/>
              <w:bottom w:val="single" w:sz="4" w:space="0" w:color="auto"/>
              <w:right w:val="single" w:sz="4" w:space="0" w:color="auto"/>
            </w:tcBorders>
            <w:shd w:val="clear" w:color="auto" w:fill="auto"/>
            <w:noWrap/>
            <w:vAlign w:val="center"/>
            <w:hideMark/>
          </w:tcPr>
          <w:p w14:paraId="015BAD4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15.68 </w:t>
            </w:r>
          </w:p>
        </w:tc>
        <w:tc>
          <w:tcPr>
            <w:tcW w:w="780" w:type="dxa"/>
            <w:tcBorders>
              <w:top w:val="nil"/>
              <w:left w:val="nil"/>
              <w:bottom w:val="single" w:sz="4" w:space="0" w:color="auto"/>
              <w:right w:val="single" w:sz="4" w:space="0" w:color="auto"/>
            </w:tcBorders>
            <w:shd w:val="clear" w:color="auto" w:fill="auto"/>
            <w:noWrap/>
            <w:vAlign w:val="center"/>
            <w:hideMark/>
          </w:tcPr>
          <w:p w14:paraId="3513304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15.68 </w:t>
            </w:r>
          </w:p>
        </w:tc>
        <w:tc>
          <w:tcPr>
            <w:tcW w:w="780" w:type="dxa"/>
            <w:tcBorders>
              <w:top w:val="nil"/>
              <w:left w:val="nil"/>
              <w:bottom w:val="single" w:sz="4" w:space="0" w:color="auto"/>
              <w:right w:val="single" w:sz="4" w:space="0" w:color="auto"/>
            </w:tcBorders>
            <w:shd w:val="clear" w:color="auto" w:fill="auto"/>
            <w:noWrap/>
            <w:vAlign w:val="center"/>
            <w:hideMark/>
          </w:tcPr>
          <w:p w14:paraId="3C2F98B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8.89 </w:t>
            </w:r>
          </w:p>
        </w:tc>
        <w:tc>
          <w:tcPr>
            <w:tcW w:w="780" w:type="dxa"/>
            <w:tcBorders>
              <w:top w:val="nil"/>
              <w:left w:val="nil"/>
              <w:bottom w:val="single" w:sz="4" w:space="0" w:color="auto"/>
              <w:right w:val="single" w:sz="4" w:space="0" w:color="auto"/>
            </w:tcBorders>
            <w:shd w:val="clear" w:color="auto" w:fill="auto"/>
            <w:noWrap/>
            <w:vAlign w:val="center"/>
            <w:hideMark/>
          </w:tcPr>
          <w:p w14:paraId="09036F8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8.87 </w:t>
            </w:r>
          </w:p>
        </w:tc>
        <w:tc>
          <w:tcPr>
            <w:tcW w:w="780" w:type="dxa"/>
            <w:tcBorders>
              <w:top w:val="nil"/>
              <w:left w:val="nil"/>
              <w:bottom w:val="single" w:sz="4" w:space="0" w:color="auto"/>
              <w:right w:val="single" w:sz="4" w:space="0" w:color="auto"/>
            </w:tcBorders>
            <w:shd w:val="clear" w:color="auto" w:fill="auto"/>
            <w:noWrap/>
            <w:vAlign w:val="center"/>
            <w:hideMark/>
          </w:tcPr>
          <w:p w14:paraId="63DB512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9.39 </w:t>
            </w:r>
          </w:p>
        </w:tc>
        <w:tc>
          <w:tcPr>
            <w:tcW w:w="780" w:type="dxa"/>
            <w:tcBorders>
              <w:top w:val="nil"/>
              <w:left w:val="nil"/>
              <w:bottom w:val="single" w:sz="4" w:space="0" w:color="auto"/>
              <w:right w:val="single" w:sz="4" w:space="0" w:color="auto"/>
            </w:tcBorders>
            <w:shd w:val="clear" w:color="auto" w:fill="auto"/>
            <w:noWrap/>
            <w:vAlign w:val="center"/>
            <w:hideMark/>
          </w:tcPr>
          <w:p w14:paraId="6FC4682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9.37 </w:t>
            </w:r>
          </w:p>
        </w:tc>
        <w:tc>
          <w:tcPr>
            <w:tcW w:w="780" w:type="dxa"/>
            <w:tcBorders>
              <w:top w:val="nil"/>
              <w:left w:val="nil"/>
              <w:bottom w:val="single" w:sz="4" w:space="0" w:color="auto"/>
              <w:right w:val="single" w:sz="4" w:space="0" w:color="auto"/>
            </w:tcBorders>
            <w:shd w:val="clear" w:color="auto" w:fill="auto"/>
            <w:noWrap/>
            <w:vAlign w:val="center"/>
            <w:hideMark/>
          </w:tcPr>
          <w:p w14:paraId="5CDD9CF4"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5.00 </w:t>
            </w:r>
          </w:p>
        </w:tc>
        <w:tc>
          <w:tcPr>
            <w:tcW w:w="780" w:type="dxa"/>
            <w:tcBorders>
              <w:top w:val="nil"/>
              <w:left w:val="nil"/>
              <w:bottom w:val="single" w:sz="4" w:space="0" w:color="auto"/>
              <w:right w:val="single" w:sz="4" w:space="0" w:color="auto"/>
            </w:tcBorders>
            <w:shd w:val="clear" w:color="auto" w:fill="auto"/>
            <w:noWrap/>
            <w:vAlign w:val="center"/>
            <w:hideMark/>
          </w:tcPr>
          <w:p w14:paraId="3CDB1A60"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5.00 </w:t>
            </w:r>
          </w:p>
        </w:tc>
      </w:tr>
      <w:tr w:rsidR="000976E3" w:rsidRPr="00AB5D68" w14:paraId="7F8AA56C" w14:textId="77777777" w:rsidTr="007272F1">
        <w:trPr>
          <w:trHeight w:val="270"/>
          <w:jc w:val="center"/>
        </w:trPr>
        <w:tc>
          <w:tcPr>
            <w:tcW w:w="1129" w:type="dxa"/>
            <w:vMerge/>
            <w:tcBorders>
              <w:top w:val="nil"/>
              <w:left w:val="single" w:sz="4" w:space="0" w:color="auto"/>
              <w:bottom w:val="single" w:sz="4" w:space="0" w:color="auto"/>
              <w:right w:val="single" w:sz="4" w:space="0" w:color="auto"/>
            </w:tcBorders>
            <w:vAlign w:val="center"/>
            <w:hideMark/>
          </w:tcPr>
          <w:p w14:paraId="708484C3" w14:textId="77777777" w:rsidR="000976E3" w:rsidRPr="00AB5D68" w:rsidRDefault="000976E3" w:rsidP="005E1C68">
            <w:pPr>
              <w:spacing w:after="0"/>
              <w:jc w:val="center"/>
              <w:rPr>
                <w:rFonts w:eastAsia="MS PGothic" w:cs="Arial"/>
                <w:b/>
                <w:bCs/>
                <w:sz w:val="18"/>
                <w:szCs w:val="18"/>
                <w:lang w:eastAsia="ja-JP"/>
              </w:rPr>
            </w:pPr>
          </w:p>
        </w:tc>
        <w:tc>
          <w:tcPr>
            <w:tcW w:w="909" w:type="dxa"/>
            <w:tcBorders>
              <w:top w:val="nil"/>
              <w:left w:val="nil"/>
              <w:bottom w:val="single" w:sz="4" w:space="0" w:color="auto"/>
              <w:right w:val="single" w:sz="4" w:space="0" w:color="auto"/>
            </w:tcBorders>
            <w:shd w:val="clear" w:color="auto" w:fill="auto"/>
            <w:noWrap/>
            <w:vAlign w:val="center"/>
            <w:hideMark/>
          </w:tcPr>
          <w:p w14:paraId="26E60E8C"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5%-tile</w:t>
            </w:r>
          </w:p>
        </w:tc>
        <w:tc>
          <w:tcPr>
            <w:tcW w:w="780" w:type="dxa"/>
            <w:tcBorders>
              <w:top w:val="nil"/>
              <w:left w:val="nil"/>
              <w:bottom w:val="single" w:sz="4" w:space="0" w:color="auto"/>
              <w:right w:val="single" w:sz="4" w:space="0" w:color="auto"/>
            </w:tcBorders>
            <w:shd w:val="clear" w:color="auto" w:fill="auto"/>
            <w:noWrap/>
            <w:vAlign w:val="center"/>
            <w:hideMark/>
          </w:tcPr>
          <w:p w14:paraId="62C8E54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14.62 </w:t>
            </w:r>
          </w:p>
        </w:tc>
        <w:tc>
          <w:tcPr>
            <w:tcW w:w="780" w:type="dxa"/>
            <w:tcBorders>
              <w:top w:val="nil"/>
              <w:left w:val="nil"/>
              <w:bottom w:val="single" w:sz="4" w:space="0" w:color="auto"/>
              <w:right w:val="single" w:sz="4" w:space="0" w:color="auto"/>
            </w:tcBorders>
            <w:shd w:val="clear" w:color="auto" w:fill="auto"/>
            <w:noWrap/>
            <w:vAlign w:val="center"/>
            <w:hideMark/>
          </w:tcPr>
          <w:p w14:paraId="5011B003"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14.62 </w:t>
            </w:r>
          </w:p>
        </w:tc>
        <w:tc>
          <w:tcPr>
            <w:tcW w:w="780" w:type="dxa"/>
            <w:tcBorders>
              <w:top w:val="nil"/>
              <w:left w:val="nil"/>
              <w:bottom w:val="single" w:sz="4" w:space="0" w:color="auto"/>
              <w:right w:val="single" w:sz="4" w:space="0" w:color="auto"/>
            </w:tcBorders>
            <w:shd w:val="clear" w:color="auto" w:fill="auto"/>
            <w:noWrap/>
            <w:vAlign w:val="center"/>
            <w:hideMark/>
          </w:tcPr>
          <w:p w14:paraId="519A324A"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13.62 </w:t>
            </w:r>
          </w:p>
        </w:tc>
        <w:tc>
          <w:tcPr>
            <w:tcW w:w="780" w:type="dxa"/>
            <w:tcBorders>
              <w:top w:val="nil"/>
              <w:left w:val="nil"/>
              <w:bottom w:val="single" w:sz="4" w:space="0" w:color="auto"/>
              <w:right w:val="single" w:sz="4" w:space="0" w:color="auto"/>
            </w:tcBorders>
            <w:shd w:val="clear" w:color="auto" w:fill="auto"/>
            <w:noWrap/>
            <w:vAlign w:val="center"/>
            <w:hideMark/>
          </w:tcPr>
          <w:p w14:paraId="23881A80"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13.02 </w:t>
            </w:r>
          </w:p>
        </w:tc>
        <w:tc>
          <w:tcPr>
            <w:tcW w:w="780" w:type="dxa"/>
            <w:tcBorders>
              <w:top w:val="nil"/>
              <w:left w:val="nil"/>
              <w:bottom w:val="single" w:sz="4" w:space="0" w:color="auto"/>
              <w:right w:val="single" w:sz="4" w:space="0" w:color="auto"/>
            </w:tcBorders>
            <w:shd w:val="clear" w:color="auto" w:fill="auto"/>
            <w:noWrap/>
            <w:vAlign w:val="center"/>
            <w:hideMark/>
          </w:tcPr>
          <w:p w14:paraId="376D5D4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9.14 </w:t>
            </w:r>
          </w:p>
        </w:tc>
        <w:tc>
          <w:tcPr>
            <w:tcW w:w="780" w:type="dxa"/>
            <w:tcBorders>
              <w:top w:val="nil"/>
              <w:left w:val="nil"/>
              <w:bottom w:val="single" w:sz="4" w:space="0" w:color="auto"/>
              <w:right w:val="single" w:sz="4" w:space="0" w:color="auto"/>
            </w:tcBorders>
            <w:shd w:val="clear" w:color="auto" w:fill="auto"/>
            <w:noWrap/>
            <w:vAlign w:val="center"/>
            <w:hideMark/>
          </w:tcPr>
          <w:p w14:paraId="799FDF74"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8.35 </w:t>
            </w:r>
          </w:p>
        </w:tc>
        <w:tc>
          <w:tcPr>
            <w:tcW w:w="780" w:type="dxa"/>
            <w:tcBorders>
              <w:top w:val="nil"/>
              <w:left w:val="nil"/>
              <w:bottom w:val="single" w:sz="4" w:space="0" w:color="auto"/>
              <w:right w:val="single" w:sz="4" w:space="0" w:color="auto"/>
            </w:tcBorders>
            <w:shd w:val="clear" w:color="auto" w:fill="auto"/>
            <w:noWrap/>
            <w:vAlign w:val="center"/>
            <w:hideMark/>
          </w:tcPr>
          <w:p w14:paraId="054C589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8.93 </w:t>
            </w:r>
          </w:p>
        </w:tc>
        <w:tc>
          <w:tcPr>
            <w:tcW w:w="780" w:type="dxa"/>
            <w:tcBorders>
              <w:top w:val="nil"/>
              <w:left w:val="nil"/>
              <w:bottom w:val="single" w:sz="4" w:space="0" w:color="auto"/>
              <w:right w:val="single" w:sz="4" w:space="0" w:color="auto"/>
            </w:tcBorders>
            <w:shd w:val="clear" w:color="auto" w:fill="auto"/>
            <w:noWrap/>
            <w:vAlign w:val="center"/>
            <w:hideMark/>
          </w:tcPr>
          <w:p w14:paraId="5CF008B3"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7.51 </w:t>
            </w:r>
          </w:p>
        </w:tc>
      </w:tr>
      <w:tr w:rsidR="000976E3" w:rsidRPr="00AB5D68" w14:paraId="53BF311A" w14:textId="77777777" w:rsidTr="007272F1">
        <w:trPr>
          <w:trHeight w:val="270"/>
          <w:jc w:val="center"/>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91DBE"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CATT</w:t>
            </w:r>
          </w:p>
        </w:tc>
        <w:tc>
          <w:tcPr>
            <w:tcW w:w="909" w:type="dxa"/>
            <w:tcBorders>
              <w:top w:val="nil"/>
              <w:left w:val="nil"/>
              <w:bottom w:val="single" w:sz="4" w:space="0" w:color="auto"/>
              <w:right w:val="single" w:sz="4" w:space="0" w:color="auto"/>
            </w:tcBorders>
            <w:shd w:val="clear" w:color="auto" w:fill="auto"/>
            <w:noWrap/>
            <w:vAlign w:val="center"/>
            <w:hideMark/>
          </w:tcPr>
          <w:p w14:paraId="63F6BF17"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Average</w:t>
            </w:r>
          </w:p>
        </w:tc>
        <w:tc>
          <w:tcPr>
            <w:tcW w:w="780" w:type="dxa"/>
            <w:tcBorders>
              <w:top w:val="nil"/>
              <w:left w:val="nil"/>
              <w:bottom w:val="single" w:sz="4" w:space="0" w:color="auto"/>
              <w:right w:val="single" w:sz="4" w:space="0" w:color="auto"/>
            </w:tcBorders>
            <w:shd w:val="clear" w:color="auto" w:fill="auto"/>
            <w:noWrap/>
            <w:vAlign w:val="center"/>
            <w:hideMark/>
          </w:tcPr>
          <w:p w14:paraId="0C0DB09F"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15.45 </w:t>
            </w:r>
          </w:p>
        </w:tc>
        <w:tc>
          <w:tcPr>
            <w:tcW w:w="780" w:type="dxa"/>
            <w:tcBorders>
              <w:top w:val="nil"/>
              <w:left w:val="nil"/>
              <w:bottom w:val="single" w:sz="4" w:space="0" w:color="auto"/>
              <w:right w:val="single" w:sz="4" w:space="0" w:color="auto"/>
            </w:tcBorders>
            <w:shd w:val="clear" w:color="auto" w:fill="auto"/>
            <w:noWrap/>
            <w:vAlign w:val="center"/>
            <w:hideMark/>
          </w:tcPr>
          <w:p w14:paraId="043D806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15.45 </w:t>
            </w:r>
          </w:p>
        </w:tc>
        <w:tc>
          <w:tcPr>
            <w:tcW w:w="780" w:type="dxa"/>
            <w:tcBorders>
              <w:top w:val="nil"/>
              <w:left w:val="nil"/>
              <w:bottom w:val="single" w:sz="4" w:space="0" w:color="auto"/>
              <w:right w:val="single" w:sz="4" w:space="0" w:color="auto"/>
            </w:tcBorders>
            <w:shd w:val="clear" w:color="auto" w:fill="auto"/>
            <w:noWrap/>
            <w:vAlign w:val="center"/>
            <w:hideMark/>
          </w:tcPr>
          <w:p w14:paraId="4672E10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15.13 </w:t>
            </w:r>
          </w:p>
        </w:tc>
        <w:tc>
          <w:tcPr>
            <w:tcW w:w="780" w:type="dxa"/>
            <w:tcBorders>
              <w:top w:val="nil"/>
              <w:left w:val="nil"/>
              <w:bottom w:val="single" w:sz="4" w:space="0" w:color="auto"/>
              <w:right w:val="single" w:sz="4" w:space="0" w:color="auto"/>
            </w:tcBorders>
            <w:shd w:val="clear" w:color="auto" w:fill="auto"/>
            <w:noWrap/>
            <w:vAlign w:val="center"/>
            <w:hideMark/>
          </w:tcPr>
          <w:p w14:paraId="4030AB6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15.12 </w:t>
            </w:r>
          </w:p>
        </w:tc>
        <w:tc>
          <w:tcPr>
            <w:tcW w:w="780" w:type="dxa"/>
            <w:tcBorders>
              <w:top w:val="nil"/>
              <w:left w:val="nil"/>
              <w:bottom w:val="single" w:sz="4" w:space="0" w:color="auto"/>
              <w:right w:val="single" w:sz="4" w:space="0" w:color="auto"/>
            </w:tcBorders>
            <w:shd w:val="clear" w:color="auto" w:fill="auto"/>
            <w:noWrap/>
            <w:vAlign w:val="center"/>
            <w:hideMark/>
          </w:tcPr>
          <w:p w14:paraId="262D708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3842D584"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7706070F"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10.10 </w:t>
            </w:r>
          </w:p>
        </w:tc>
        <w:tc>
          <w:tcPr>
            <w:tcW w:w="780" w:type="dxa"/>
            <w:tcBorders>
              <w:top w:val="nil"/>
              <w:left w:val="nil"/>
              <w:bottom w:val="single" w:sz="4" w:space="0" w:color="auto"/>
              <w:right w:val="single" w:sz="4" w:space="0" w:color="auto"/>
            </w:tcBorders>
            <w:shd w:val="clear" w:color="auto" w:fill="auto"/>
            <w:noWrap/>
            <w:vAlign w:val="center"/>
            <w:hideMark/>
          </w:tcPr>
          <w:p w14:paraId="3D49D00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9.91 </w:t>
            </w:r>
          </w:p>
        </w:tc>
      </w:tr>
      <w:tr w:rsidR="000976E3" w:rsidRPr="00AB5D68" w14:paraId="2E6167E4" w14:textId="77777777" w:rsidTr="007272F1">
        <w:trPr>
          <w:trHeight w:val="270"/>
          <w:jc w:val="center"/>
        </w:trPr>
        <w:tc>
          <w:tcPr>
            <w:tcW w:w="1129" w:type="dxa"/>
            <w:vMerge/>
            <w:tcBorders>
              <w:top w:val="nil"/>
              <w:left w:val="single" w:sz="4" w:space="0" w:color="auto"/>
              <w:bottom w:val="single" w:sz="4" w:space="0" w:color="auto"/>
              <w:right w:val="single" w:sz="4" w:space="0" w:color="auto"/>
            </w:tcBorders>
            <w:vAlign w:val="center"/>
            <w:hideMark/>
          </w:tcPr>
          <w:p w14:paraId="68CB9CFE" w14:textId="77777777" w:rsidR="000976E3" w:rsidRPr="00AB5D68" w:rsidRDefault="000976E3" w:rsidP="005E1C68">
            <w:pPr>
              <w:spacing w:after="0"/>
              <w:jc w:val="center"/>
              <w:rPr>
                <w:rFonts w:eastAsia="MS PGothic" w:cs="Arial"/>
                <w:b/>
                <w:bCs/>
                <w:sz w:val="18"/>
                <w:szCs w:val="18"/>
                <w:lang w:eastAsia="ja-JP"/>
              </w:rPr>
            </w:pPr>
          </w:p>
        </w:tc>
        <w:tc>
          <w:tcPr>
            <w:tcW w:w="909" w:type="dxa"/>
            <w:tcBorders>
              <w:top w:val="nil"/>
              <w:left w:val="nil"/>
              <w:bottom w:val="single" w:sz="4" w:space="0" w:color="auto"/>
              <w:right w:val="single" w:sz="4" w:space="0" w:color="auto"/>
            </w:tcBorders>
            <w:shd w:val="clear" w:color="auto" w:fill="auto"/>
            <w:noWrap/>
            <w:vAlign w:val="center"/>
            <w:hideMark/>
          </w:tcPr>
          <w:p w14:paraId="6652A15A"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5%-tile</w:t>
            </w:r>
          </w:p>
        </w:tc>
        <w:tc>
          <w:tcPr>
            <w:tcW w:w="780" w:type="dxa"/>
            <w:tcBorders>
              <w:top w:val="nil"/>
              <w:left w:val="nil"/>
              <w:bottom w:val="single" w:sz="4" w:space="0" w:color="auto"/>
              <w:right w:val="single" w:sz="4" w:space="0" w:color="auto"/>
            </w:tcBorders>
            <w:shd w:val="clear" w:color="auto" w:fill="auto"/>
            <w:noWrap/>
            <w:vAlign w:val="center"/>
            <w:hideMark/>
          </w:tcPr>
          <w:p w14:paraId="0B04D4D0"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13.14 </w:t>
            </w:r>
          </w:p>
        </w:tc>
        <w:tc>
          <w:tcPr>
            <w:tcW w:w="780" w:type="dxa"/>
            <w:tcBorders>
              <w:top w:val="nil"/>
              <w:left w:val="nil"/>
              <w:bottom w:val="single" w:sz="4" w:space="0" w:color="auto"/>
              <w:right w:val="single" w:sz="4" w:space="0" w:color="auto"/>
            </w:tcBorders>
            <w:shd w:val="clear" w:color="auto" w:fill="auto"/>
            <w:noWrap/>
            <w:vAlign w:val="center"/>
            <w:hideMark/>
          </w:tcPr>
          <w:p w14:paraId="5364DE3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13.14 </w:t>
            </w:r>
          </w:p>
        </w:tc>
        <w:tc>
          <w:tcPr>
            <w:tcW w:w="780" w:type="dxa"/>
            <w:tcBorders>
              <w:top w:val="nil"/>
              <w:left w:val="nil"/>
              <w:bottom w:val="single" w:sz="4" w:space="0" w:color="auto"/>
              <w:right w:val="single" w:sz="4" w:space="0" w:color="auto"/>
            </w:tcBorders>
            <w:shd w:val="clear" w:color="auto" w:fill="auto"/>
            <w:noWrap/>
            <w:vAlign w:val="center"/>
            <w:hideMark/>
          </w:tcPr>
          <w:p w14:paraId="5FAED094"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20.58 </w:t>
            </w:r>
          </w:p>
        </w:tc>
        <w:tc>
          <w:tcPr>
            <w:tcW w:w="780" w:type="dxa"/>
            <w:tcBorders>
              <w:top w:val="nil"/>
              <w:left w:val="nil"/>
              <w:bottom w:val="single" w:sz="4" w:space="0" w:color="auto"/>
              <w:right w:val="single" w:sz="4" w:space="0" w:color="auto"/>
            </w:tcBorders>
            <w:shd w:val="clear" w:color="auto" w:fill="auto"/>
            <w:noWrap/>
            <w:vAlign w:val="center"/>
            <w:hideMark/>
          </w:tcPr>
          <w:p w14:paraId="5084B8B9"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23.85 </w:t>
            </w:r>
          </w:p>
        </w:tc>
        <w:tc>
          <w:tcPr>
            <w:tcW w:w="780" w:type="dxa"/>
            <w:tcBorders>
              <w:top w:val="nil"/>
              <w:left w:val="nil"/>
              <w:bottom w:val="single" w:sz="4" w:space="0" w:color="auto"/>
              <w:right w:val="single" w:sz="4" w:space="0" w:color="auto"/>
            </w:tcBorders>
            <w:shd w:val="clear" w:color="auto" w:fill="auto"/>
            <w:noWrap/>
            <w:vAlign w:val="center"/>
            <w:hideMark/>
          </w:tcPr>
          <w:p w14:paraId="0EAF6DD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7B14D83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69B8C33F"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14.14 </w:t>
            </w:r>
          </w:p>
        </w:tc>
        <w:tc>
          <w:tcPr>
            <w:tcW w:w="780" w:type="dxa"/>
            <w:tcBorders>
              <w:top w:val="nil"/>
              <w:left w:val="nil"/>
              <w:bottom w:val="single" w:sz="4" w:space="0" w:color="auto"/>
              <w:right w:val="single" w:sz="4" w:space="0" w:color="auto"/>
            </w:tcBorders>
            <w:shd w:val="clear" w:color="auto" w:fill="auto"/>
            <w:noWrap/>
            <w:vAlign w:val="center"/>
            <w:hideMark/>
          </w:tcPr>
          <w:p w14:paraId="70274A7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13.51 </w:t>
            </w:r>
          </w:p>
        </w:tc>
      </w:tr>
      <w:tr w:rsidR="000976E3" w:rsidRPr="00AB5D68" w14:paraId="6A1CD05E" w14:textId="77777777" w:rsidTr="007272F1">
        <w:trPr>
          <w:trHeight w:val="270"/>
          <w:jc w:val="center"/>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DB5E95"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Qualcomm</w:t>
            </w:r>
          </w:p>
        </w:tc>
        <w:tc>
          <w:tcPr>
            <w:tcW w:w="909" w:type="dxa"/>
            <w:tcBorders>
              <w:top w:val="nil"/>
              <w:left w:val="nil"/>
              <w:bottom w:val="single" w:sz="4" w:space="0" w:color="auto"/>
              <w:right w:val="single" w:sz="4" w:space="0" w:color="auto"/>
            </w:tcBorders>
            <w:shd w:val="clear" w:color="auto" w:fill="auto"/>
            <w:noWrap/>
            <w:vAlign w:val="center"/>
            <w:hideMark/>
          </w:tcPr>
          <w:p w14:paraId="1FC86248"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Average</w:t>
            </w:r>
          </w:p>
        </w:tc>
        <w:tc>
          <w:tcPr>
            <w:tcW w:w="780" w:type="dxa"/>
            <w:tcBorders>
              <w:top w:val="nil"/>
              <w:left w:val="nil"/>
              <w:bottom w:val="single" w:sz="4" w:space="0" w:color="auto"/>
              <w:right w:val="single" w:sz="4" w:space="0" w:color="auto"/>
            </w:tcBorders>
            <w:shd w:val="clear" w:color="auto" w:fill="auto"/>
            <w:noWrap/>
            <w:vAlign w:val="center"/>
            <w:hideMark/>
          </w:tcPr>
          <w:p w14:paraId="656F2A10"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16.17 </w:t>
            </w:r>
          </w:p>
        </w:tc>
        <w:tc>
          <w:tcPr>
            <w:tcW w:w="780" w:type="dxa"/>
            <w:tcBorders>
              <w:top w:val="nil"/>
              <w:left w:val="nil"/>
              <w:bottom w:val="single" w:sz="4" w:space="0" w:color="auto"/>
              <w:right w:val="single" w:sz="4" w:space="0" w:color="auto"/>
            </w:tcBorders>
            <w:shd w:val="clear" w:color="auto" w:fill="auto"/>
            <w:noWrap/>
            <w:vAlign w:val="center"/>
            <w:hideMark/>
          </w:tcPr>
          <w:p w14:paraId="74AD93B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16.18 </w:t>
            </w:r>
          </w:p>
        </w:tc>
        <w:tc>
          <w:tcPr>
            <w:tcW w:w="780" w:type="dxa"/>
            <w:tcBorders>
              <w:top w:val="nil"/>
              <w:left w:val="nil"/>
              <w:bottom w:val="single" w:sz="4" w:space="0" w:color="auto"/>
              <w:right w:val="single" w:sz="4" w:space="0" w:color="auto"/>
            </w:tcBorders>
            <w:shd w:val="clear" w:color="auto" w:fill="auto"/>
            <w:noWrap/>
            <w:vAlign w:val="center"/>
            <w:hideMark/>
          </w:tcPr>
          <w:p w14:paraId="4208762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12.32 </w:t>
            </w:r>
          </w:p>
        </w:tc>
        <w:tc>
          <w:tcPr>
            <w:tcW w:w="780" w:type="dxa"/>
            <w:tcBorders>
              <w:top w:val="nil"/>
              <w:left w:val="nil"/>
              <w:bottom w:val="single" w:sz="4" w:space="0" w:color="auto"/>
              <w:right w:val="single" w:sz="4" w:space="0" w:color="auto"/>
            </w:tcBorders>
            <w:shd w:val="clear" w:color="auto" w:fill="auto"/>
            <w:noWrap/>
            <w:vAlign w:val="center"/>
            <w:hideMark/>
          </w:tcPr>
          <w:p w14:paraId="59AA53B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12.30 </w:t>
            </w:r>
          </w:p>
        </w:tc>
        <w:tc>
          <w:tcPr>
            <w:tcW w:w="780" w:type="dxa"/>
            <w:tcBorders>
              <w:top w:val="nil"/>
              <w:left w:val="nil"/>
              <w:bottom w:val="single" w:sz="4" w:space="0" w:color="auto"/>
              <w:right w:val="single" w:sz="4" w:space="0" w:color="auto"/>
            </w:tcBorders>
            <w:shd w:val="clear" w:color="auto" w:fill="auto"/>
            <w:noWrap/>
            <w:vAlign w:val="center"/>
            <w:hideMark/>
          </w:tcPr>
          <w:p w14:paraId="765A9C99"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12.47 </w:t>
            </w:r>
          </w:p>
        </w:tc>
        <w:tc>
          <w:tcPr>
            <w:tcW w:w="780" w:type="dxa"/>
            <w:tcBorders>
              <w:top w:val="nil"/>
              <w:left w:val="nil"/>
              <w:bottom w:val="single" w:sz="4" w:space="0" w:color="auto"/>
              <w:right w:val="single" w:sz="4" w:space="0" w:color="auto"/>
            </w:tcBorders>
            <w:shd w:val="clear" w:color="auto" w:fill="auto"/>
            <w:noWrap/>
            <w:vAlign w:val="center"/>
            <w:hideMark/>
          </w:tcPr>
          <w:p w14:paraId="0D3682D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12.43 </w:t>
            </w:r>
          </w:p>
        </w:tc>
        <w:tc>
          <w:tcPr>
            <w:tcW w:w="780" w:type="dxa"/>
            <w:tcBorders>
              <w:top w:val="nil"/>
              <w:left w:val="nil"/>
              <w:bottom w:val="single" w:sz="4" w:space="0" w:color="auto"/>
              <w:right w:val="single" w:sz="4" w:space="0" w:color="auto"/>
            </w:tcBorders>
            <w:shd w:val="clear" w:color="auto" w:fill="auto"/>
            <w:noWrap/>
            <w:vAlign w:val="center"/>
            <w:hideMark/>
          </w:tcPr>
          <w:p w14:paraId="7F46ED56"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6.12 </w:t>
            </w:r>
          </w:p>
        </w:tc>
        <w:tc>
          <w:tcPr>
            <w:tcW w:w="780" w:type="dxa"/>
            <w:tcBorders>
              <w:top w:val="nil"/>
              <w:left w:val="nil"/>
              <w:bottom w:val="single" w:sz="4" w:space="0" w:color="auto"/>
              <w:right w:val="single" w:sz="4" w:space="0" w:color="auto"/>
            </w:tcBorders>
            <w:shd w:val="clear" w:color="auto" w:fill="auto"/>
            <w:noWrap/>
            <w:vAlign w:val="center"/>
            <w:hideMark/>
          </w:tcPr>
          <w:p w14:paraId="5F0BFE04"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5.80 </w:t>
            </w:r>
          </w:p>
        </w:tc>
      </w:tr>
      <w:tr w:rsidR="000976E3" w:rsidRPr="00AB5D68" w14:paraId="3A2F87E9" w14:textId="77777777" w:rsidTr="007272F1">
        <w:trPr>
          <w:trHeight w:val="270"/>
          <w:jc w:val="center"/>
        </w:trPr>
        <w:tc>
          <w:tcPr>
            <w:tcW w:w="1129" w:type="dxa"/>
            <w:vMerge/>
            <w:tcBorders>
              <w:top w:val="nil"/>
              <w:left w:val="single" w:sz="4" w:space="0" w:color="auto"/>
              <w:bottom w:val="single" w:sz="4" w:space="0" w:color="auto"/>
              <w:right w:val="single" w:sz="4" w:space="0" w:color="auto"/>
            </w:tcBorders>
            <w:vAlign w:val="center"/>
            <w:hideMark/>
          </w:tcPr>
          <w:p w14:paraId="6E729C15" w14:textId="77777777" w:rsidR="000976E3" w:rsidRPr="00AB5D68" w:rsidRDefault="000976E3" w:rsidP="005E1C68">
            <w:pPr>
              <w:spacing w:after="0"/>
              <w:jc w:val="center"/>
              <w:rPr>
                <w:rFonts w:eastAsia="MS PGothic" w:cs="Arial"/>
                <w:b/>
                <w:bCs/>
                <w:sz w:val="18"/>
                <w:szCs w:val="18"/>
                <w:lang w:eastAsia="ja-JP"/>
              </w:rPr>
            </w:pPr>
          </w:p>
        </w:tc>
        <w:tc>
          <w:tcPr>
            <w:tcW w:w="909" w:type="dxa"/>
            <w:tcBorders>
              <w:top w:val="nil"/>
              <w:left w:val="nil"/>
              <w:bottom w:val="single" w:sz="4" w:space="0" w:color="auto"/>
              <w:right w:val="single" w:sz="4" w:space="0" w:color="auto"/>
            </w:tcBorders>
            <w:shd w:val="clear" w:color="auto" w:fill="auto"/>
            <w:noWrap/>
            <w:vAlign w:val="center"/>
            <w:hideMark/>
          </w:tcPr>
          <w:p w14:paraId="3DDACE16"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5%-tile</w:t>
            </w:r>
          </w:p>
        </w:tc>
        <w:tc>
          <w:tcPr>
            <w:tcW w:w="780" w:type="dxa"/>
            <w:tcBorders>
              <w:top w:val="nil"/>
              <w:left w:val="nil"/>
              <w:bottom w:val="single" w:sz="4" w:space="0" w:color="auto"/>
              <w:right w:val="single" w:sz="4" w:space="0" w:color="auto"/>
            </w:tcBorders>
            <w:shd w:val="clear" w:color="auto" w:fill="auto"/>
            <w:noWrap/>
            <w:vAlign w:val="center"/>
            <w:hideMark/>
          </w:tcPr>
          <w:p w14:paraId="0E20F09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13.47 </w:t>
            </w:r>
          </w:p>
        </w:tc>
        <w:tc>
          <w:tcPr>
            <w:tcW w:w="780" w:type="dxa"/>
            <w:tcBorders>
              <w:top w:val="nil"/>
              <w:left w:val="nil"/>
              <w:bottom w:val="single" w:sz="4" w:space="0" w:color="auto"/>
              <w:right w:val="single" w:sz="4" w:space="0" w:color="auto"/>
            </w:tcBorders>
            <w:shd w:val="clear" w:color="auto" w:fill="auto"/>
            <w:noWrap/>
            <w:vAlign w:val="center"/>
            <w:hideMark/>
          </w:tcPr>
          <w:p w14:paraId="20BABF74"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13.47 </w:t>
            </w:r>
          </w:p>
        </w:tc>
        <w:tc>
          <w:tcPr>
            <w:tcW w:w="780" w:type="dxa"/>
            <w:tcBorders>
              <w:top w:val="nil"/>
              <w:left w:val="nil"/>
              <w:bottom w:val="single" w:sz="4" w:space="0" w:color="auto"/>
              <w:right w:val="single" w:sz="4" w:space="0" w:color="auto"/>
            </w:tcBorders>
            <w:shd w:val="clear" w:color="auto" w:fill="auto"/>
            <w:noWrap/>
            <w:vAlign w:val="center"/>
            <w:hideMark/>
          </w:tcPr>
          <w:p w14:paraId="374F7C83"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13.49 </w:t>
            </w:r>
          </w:p>
        </w:tc>
        <w:tc>
          <w:tcPr>
            <w:tcW w:w="780" w:type="dxa"/>
            <w:tcBorders>
              <w:top w:val="nil"/>
              <w:left w:val="nil"/>
              <w:bottom w:val="single" w:sz="4" w:space="0" w:color="auto"/>
              <w:right w:val="single" w:sz="4" w:space="0" w:color="auto"/>
            </w:tcBorders>
            <w:shd w:val="clear" w:color="auto" w:fill="auto"/>
            <w:noWrap/>
            <w:vAlign w:val="center"/>
            <w:hideMark/>
          </w:tcPr>
          <w:p w14:paraId="7F68905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13.16 </w:t>
            </w:r>
          </w:p>
        </w:tc>
        <w:tc>
          <w:tcPr>
            <w:tcW w:w="780" w:type="dxa"/>
            <w:tcBorders>
              <w:top w:val="nil"/>
              <w:left w:val="nil"/>
              <w:bottom w:val="single" w:sz="4" w:space="0" w:color="auto"/>
              <w:right w:val="single" w:sz="4" w:space="0" w:color="auto"/>
            </w:tcBorders>
            <w:shd w:val="clear" w:color="auto" w:fill="auto"/>
            <w:noWrap/>
            <w:vAlign w:val="center"/>
            <w:hideMark/>
          </w:tcPr>
          <w:p w14:paraId="6976693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9.55 </w:t>
            </w:r>
          </w:p>
        </w:tc>
        <w:tc>
          <w:tcPr>
            <w:tcW w:w="780" w:type="dxa"/>
            <w:tcBorders>
              <w:top w:val="nil"/>
              <w:left w:val="nil"/>
              <w:bottom w:val="single" w:sz="4" w:space="0" w:color="auto"/>
              <w:right w:val="single" w:sz="4" w:space="0" w:color="auto"/>
            </w:tcBorders>
            <w:shd w:val="clear" w:color="auto" w:fill="auto"/>
            <w:noWrap/>
            <w:vAlign w:val="center"/>
            <w:hideMark/>
          </w:tcPr>
          <w:p w14:paraId="7EB0514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9.14 </w:t>
            </w:r>
          </w:p>
        </w:tc>
        <w:tc>
          <w:tcPr>
            <w:tcW w:w="780" w:type="dxa"/>
            <w:tcBorders>
              <w:top w:val="nil"/>
              <w:left w:val="nil"/>
              <w:bottom w:val="single" w:sz="4" w:space="0" w:color="auto"/>
              <w:right w:val="single" w:sz="4" w:space="0" w:color="auto"/>
            </w:tcBorders>
            <w:shd w:val="clear" w:color="auto" w:fill="auto"/>
            <w:noWrap/>
            <w:vAlign w:val="center"/>
            <w:hideMark/>
          </w:tcPr>
          <w:p w14:paraId="4D2BF8BF"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10.33 </w:t>
            </w:r>
          </w:p>
        </w:tc>
        <w:tc>
          <w:tcPr>
            <w:tcW w:w="780" w:type="dxa"/>
            <w:tcBorders>
              <w:top w:val="nil"/>
              <w:left w:val="nil"/>
              <w:bottom w:val="single" w:sz="4" w:space="0" w:color="auto"/>
              <w:right w:val="single" w:sz="4" w:space="0" w:color="auto"/>
            </w:tcBorders>
            <w:shd w:val="clear" w:color="auto" w:fill="auto"/>
            <w:noWrap/>
            <w:vAlign w:val="center"/>
            <w:hideMark/>
          </w:tcPr>
          <w:p w14:paraId="2AF2A84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8.96 </w:t>
            </w:r>
          </w:p>
        </w:tc>
      </w:tr>
      <w:tr w:rsidR="000976E3" w:rsidRPr="00AB5D68" w14:paraId="4F3E86E6" w14:textId="77777777" w:rsidTr="007272F1">
        <w:trPr>
          <w:trHeight w:val="270"/>
          <w:jc w:val="center"/>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7DCBBD"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Intel</w:t>
            </w:r>
          </w:p>
        </w:tc>
        <w:tc>
          <w:tcPr>
            <w:tcW w:w="909" w:type="dxa"/>
            <w:tcBorders>
              <w:top w:val="nil"/>
              <w:left w:val="nil"/>
              <w:bottom w:val="single" w:sz="4" w:space="0" w:color="auto"/>
              <w:right w:val="single" w:sz="4" w:space="0" w:color="auto"/>
            </w:tcBorders>
            <w:shd w:val="clear" w:color="auto" w:fill="auto"/>
            <w:noWrap/>
            <w:vAlign w:val="center"/>
            <w:hideMark/>
          </w:tcPr>
          <w:p w14:paraId="10FDE030"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Average</w:t>
            </w:r>
          </w:p>
        </w:tc>
        <w:tc>
          <w:tcPr>
            <w:tcW w:w="780" w:type="dxa"/>
            <w:tcBorders>
              <w:top w:val="nil"/>
              <w:left w:val="nil"/>
              <w:bottom w:val="single" w:sz="4" w:space="0" w:color="auto"/>
              <w:right w:val="single" w:sz="4" w:space="0" w:color="auto"/>
            </w:tcBorders>
            <w:shd w:val="clear" w:color="auto" w:fill="auto"/>
            <w:noWrap/>
            <w:vAlign w:val="center"/>
            <w:hideMark/>
          </w:tcPr>
          <w:p w14:paraId="768E52B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15.64 </w:t>
            </w:r>
          </w:p>
        </w:tc>
        <w:tc>
          <w:tcPr>
            <w:tcW w:w="780" w:type="dxa"/>
            <w:tcBorders>
              <w:top w:val="nil"/>
              <w:left w:val="nil"/>
              <w:bottom w:val="single" w:sz="4" w:space="0" w:color="auto"/>
              <w:right w:val="single" w:sz="4" w:space="0" w:color="auto"/>
            </w:tcBorders>
            <w:shd w:val="clear" w:color="auto" w:fill="auto"/>
            <w:noWrap/>
            <w:vAlign w:val="center"/>
            <w:hideMark/>
          </w:tcPr>
          <w:p w14:paraId="4D077EE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15.90 </w:t>
            </w:r>
          </w:p>
        </w:tc>
        <w:tc>
          <w:tcPr>
            <w:tcW w:w="780" w:type="dxa"/>
            <w:tcBorders>
              <w:top w:val="nil"/>
              <w:left w:val="nil"/>
              <w:bottom w:val="single" w:sz="4" w:space="0" w:color="auto"/>
              <w:right w:val="single" w:sz="4" w:space="0" w:color="auto"/>
            </w:tcBorders>
            <w:shd w:val="clear" w:color="auto" w:fill="auto"/>
            <w:noWrap/>
            <w:vAlign w:val="center"/>
            <w:hideMark/>
          </w:tcPr>
          <w:p w14:paraId="339B86A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8.16 </w:t>
            </w:r>
          </w:p>
        </w:tc>
        <w:tc>
          <w:tcPr>
            <w:tcW w:w="780" w:type="dxa"/>
            <w:tcBorders>
              <w:top w:val="nil"/>
              <w:left w:val="nil"/>
              <w:bottom w:val="single" w:sz="4" w:space="0" w:color="auto"/>
              <w:right w:val="single" w:sz="4" w:space="0" w:color="auto"/>
            </w:tcBorders>
            <w:shd w:val="clear" w:color="auto" w:fill="auto"/>
            <w:noWrap/>
            <w:vAlign w:val="center"/>
            <w:hideMark/>
          </w:tcPr>
          <w:p w14:paraId="7088C93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8.35 </w:t>
            </w:r>
          </w:p>
        </w:tc>
        <w:tc>
          <w:tcPr>
            <w:tcW w:w="780" w:type="dxa"/>
            <w:tcBorders>
              <w:top w:val="nil"/>
              <w:left w:val="nil"/>
              <w:bottom w:val="single" w:sz="4" w:space="0" w:color="auto"/>
              <w:right w:val="single" w:sz="4" w:space="0" w:color="auto"/>
            </w:tcBorders>
            <w:shd w:val="clear" w:color="auto" w:fill="auto"/>
            <w:noWrap/>
            <w:vAlign w:val="center"/>
            <w:hideMark/>
          </w:tcPr>
          <w:p w14:paraId="4A9C576A"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10.70 </w:t>
            </w:r>
          </w:p>
        </w:tc>
        <w:tc>
          <w:tcPr>
            <w:tcW w:w="780" w:type="dxa"/>
            <w:tcBorders>
              <w:top w:val="nil"/>
              <w:left w:val="nil"/>
              <w:bottom w:val="single" w:sz="4" w:space="0" w:color="auto"/>
              <w:right w:val="single" w:sz="4" w:space="0" w:color="auto"/>
            </w:tcBorders>
            <w:shd w:val="clear" w:color="auto" w:fill="auto"/>
            <w:noWrap/>
            <w:vAlign w:val="center"/>
            <w:hideMark/>
          </w:tcPr>
          <w:p w14:paraId="6AD250E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9.71 </w:t>
            </w:r>
          </w:p>
        </w:tc>
        <w:tc>
          <w:tcPr>
            <w:tcW w:w="780" w:type="dxa"/>
            <w:tcBorders>
              <w:top w:val="nil"/>
              <w:left w:val="nil"/>
              <w:bottom w:val="single" w:sz="4" w:space="0" w:color="auto"/>
              <w:right w:val="single" w:sz="4" w:space="0" w:color="auto"/>
            </w:tcBorders>
            <w:shd w:val="clear" w:color="auto" w:fill="auto"/>
            <w:noWrap/>
            <w:vAlign w:val="center"/>
            <w:hideMark/>
          </w:tcPr>
          <w:p w14:paraId="21768E21"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5.00 </w:t>
            </w:r>
          </w:p>
        </w:tc>
        <w:tc>
          <w:tcPr>
            <w:tcW w:w="780" w:type="dxa"/>
            <w:tcBorders>
              <w:top w:val="nil"/>
              <w:left w:val="nil"/>
              <w:bottom w:val="single" w:sz="4" w:space="0" w:color="auto"/>
              <w:right w:val="single" w:sz="4" w:space="0" w:color="auto"/>
            </w:tcBorders>
            <w:shd w:val="clear" w:color="auto" w:fill="auto"/>
            <w:noWrap/>
            <w:vAlign w:val="center"/>
            <w:hideMark/>
          </w:tcPr>
          <w:p w14:paraId="5C374428"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5.00 </w:t>
            </w:r>
          </w:p>
        </w:tc>
      </w:tr>
      <w:tr w:rsidR="000976E3" w:rsidRPr="00AB5D68" w14:paraId="21A5C287" w14:textId="77777777" w:rsidTr="007272F1">
        <w:trPr>
          <w:trHeight w:val="270"/>
          <w:jc w:val="center"/>
        </w:trPr>
        <w:tc>
          <w:tcPr>
            <w:tcW w:w="1129" w:type="dxa"/>
            <w:vMerge/>
            <w:tcBorders>
              <w:top w:val="nil"/>
              <w:left w:val="single" w:sz="4" w:space="0" w:color="auto"/>
              <w:bottom w:val="single" w:sz="4" w:space="0" w:color="auto"/>
              <w:right w:val="single" w:sz="4" w:space="0" w:color="auto"/>
            </w:tcBorders>
            <w:vAlign w:val="center"/>
            <w:hideMark/>
          </w:tcPr>
          <w:p w14:paraId="2CCA13A0" w14:textId="77777777" w:rsidR="000976E3" w:rsidRPr="00AB5D68" w:rsidRDefault="000976E3" w:rsidP="005E1C68">
            <w:pPr>
              <w:spacing w:after="0"/>
              <w:jc w:val="center"/>
              <w:rPr>
                <w:rFonts w:eastAsia="MS PGothic" w:cs="Arial"/>
                <w:b/>
                <w:bCs/>
                <w:sz w:val="18"/>
                <w:szCs w:val="18"/>
                <w:lang w:eastAsia="ja-JP"/>
              </w:rPr>
            </w:pPr>
          </w:p>
        </w:tc>
        <w:tc>
          <w:tcPr>
            <w:tcW w:w="909" w:type="dxa"/>
            <w:tcBorders>
              <w:top w:val="nil"/>
              <w:left w:val="nil"/>
              <w:bottom w:val="single" w:sz="4" w:space="0" w:color="auto"/>
              <w:right w:val="single" w:sz="4" w:space="0" w:color="auto"/>
            </w:tcBorders>
            <w:shd w:val="clear" w:color="auto" w:fill="auto"/>
            <w:noWrap/>
            <w:vAlign w:val="center"/>
            <w:hideMark/>
          </w:tcPr>
          <w:p w14:paraId="5F5FB472"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5%-tile</w:t>
            </w:r>
          </w:p>
        </w:tc>
        <w:tc>
          <w:tcPr>
            <w:tcW w:w="780" w:type="dxa"/>
            <w:tcBorders>
              <w:top w:val="nil"/>
              <w:left w:val="nil"/>
              <w:bottom w:val="single" w:sz="4" w:space="0" w:color="auto"/>
              <w:right w:val="single" w:sz="4" w:space="0" w:color="auto"/>
            </w:tcBorders>
            <w:shd w:val="clear" w:color="auto" w:fill="auto"/>
            <w:noWrap/>
            <w:vAlign w:val="center"/>
            <w:hideMark/>
          </w:tcPr>
          <w:p w14:paraId="759A52A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15.78 </w:t>
            </w:r>
          </w:p>
        </w:tc>
        <w:tc>
          <w:tcPr>
            <w:tcW w:w="780" w:type="dxa"/>
            <w:tcBorders>
              <w:top w:val="nil"/>
              <w:left w:val="nil"/>
              <w:bottom w:val="single" w:sz="4" w:space="0" w:color="auto"/>
              <w:right w:val="single" w:sz="4" w:space="0" w:color="auto"/>
            </w:tcBorders>
            <w:shd w:val="clear" w:color="auto" w:fill="auto"/>
            <w:noWrap/>
            <w:vAlign w:val="center"/>
            <w:hideMark/>
          </w:tcPr>
          <w:p w14:paraId="3C61B752"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14.55 </w:t>
            </w:r>
          </w:p>
        </w:tc>
        <w:tc>
          <w:tcPr>
            <w:tcW w:w="780" w:type="dxa"/>
            <w:tcBorders>
              <w:top w:val="nil"/>
              <w:left w:val="nil"/>
              <w:bottom w:val="single" w:sz="4" w:space="0" w:color="auto"/>
              <w:right w:val="single" w:sz="4" w:space="0" w:color="auto"/>
            </w:tcBorders>
            <w:shd w:val="clear" w:color="auto" w:fill="auto"/>
            <w:noWrap/>
            <w:vAlign w:val="center"/>
            <w:hideMark/>
          </w:tcPr>
          <w:p w14:paraId="0BC298F0"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16.48 </w:t>
            </w:r>
          </w:p>
        </w:tc>
        <w:tc>
          <w:tcPr>
            <w:tcW w:w="780" w:type="dxa"/>
            <w:tcBorders>
              <w:top w:val="nil"/>
              <w:left w:val="nil"/>
              <w:bottom w:val="single" w:sz="4" w:space="0" w:color="auto"/>
              <w:right w:val="single" w:sz="4" w:space="0" w:color="auto"/>
            </w:tcBorders>
            <w:shd w:val="clear" w:color="auto" w:fill="auto"/>
            <w:noWrap/>
            <w:vAlign w:val="center"/>
            <w:hideMark/>
          </w:tcPr>
          <w:p w14:paraId="4371E1F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17.99 </w:t>
            </w:r>
          </w:p>
        </w:tc>
        <w:tc>
          <w:tcPr>
            <w:tcW w:w="780" w:type="dxa"/>
            <w:tcBorders>
              <w:top w:val="nil"/>
              <w:left w:val="nil"/>
              <w:bottom w:val="single" w:sz="4" w:space="0" w:color="auto"/>
              <w:right w:val="single" w:sz="4" w:space="0" w:color="auto"/>
            </w:tcBorders>
            <w:shd w:val="clear" w:color="auto" w:fill="auto"/>
            <w:noWrap/>
            <w:vAlign w:val="center"/>
            <w:hideMark/>
          </w:tcPr>
          <w:p w14:paraId="02F78699"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19.08 </w:t>
            </w:r>
          </w:p>
        </w:tc>
        <w:tc>
          <w:tcPr>
            <w:tcW w:w="780" w:type="dxa"/>
            <w:tcBorders>
              <w:top w:val="nil"/>
              <w:left w:val="nil"/>
              <w:bottom w:val="single" w:sz="4" w:space="0" w:color="auto"/>
              <w:right w:val="single" w:sz="4" w:space="0" w:color="auto"/>
            </w:tcBorders>
            <w:shd w:val="clear" w:color="auto" w:fill="auto"/>
            <w:noWrap/>
            <w:vAlign w:val="center"/>
            <w:hideMark/>
          </w:tcPr>
          <w:p w14:paraId="6CF34D5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19.17 </w:t>
            </w:r>
          </w:p>
        </w:tc>
        <w:tc>
          <w:tcPr>
            <w:tcW w:w="780" w:type="dxa"/>
            <w:tcBorders>
              <w:top w:val="nil"/>
              <w:left w:val="nil"/>
              <w:bottom w:val="single" w:sz="4" w:space="0" w:color="auto"/>
              <w:right w:val="single" w:sz="4" w:space="0" w:color="auto"/>
            </w:tcBorders>
            <w:shd w:val="clear" w:color="auto" w:fill="auto"/>
            <w:noWrap/>
            <w:vAlign w:val="center"/>
            <w:hideMark/>
          </w:tcPr>
          <w:p w14:paraId="4CEAA719"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6.47 </w:t>
            </w:r>
          </w:p>
        </w:tc>
        <w:tc>
          <w:tcPr>
            <w:tcW w:w="780" w:type="dxa"/>
            <w:tcBorders>
              <w:top w:val="nil"/>
              <w:left w:val="nil"/>
              <w:bottom w:val="single" w:sz="4" w:space="0" w:color="auto"/>
              <w:right w:val="single" w:sz="4" w:space="0" w:color="auto"/>
            </w:tcBorders>
            <w:shd w:val="clear" w:color="auto" w:fill="auto"/>
            <w:noWrap/>
            <w:vAlign w:val="center"/>
            <w:hideMark/>
          </w:tcPr>
          <w:p w14:paraId="6119462B"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5.00 </w:t>
            </w:r>
          </w:p>
        </w:tc>
      </w:tr>
      <w:tr w:rsidR="000976E3" w:rsidRPr="00AB5D68" w14:paraId="5B1A7E64" w14:textId="77777777" w:rsidTr="007272F1">
        <w:trPr>
          <w:trHeight w:val="270"/>
          <w:jc w:val="center"/>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2485E3"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LG</w:t>
            </w:r>
          </w:p>
        </w:tc>
        <w:tc>
          <w:tcPr>
            <w:tcW w:w="909" w:type="dxa"/>
            <w:tcBorders>
              <w:top w:val="nil"/>
              <w:left w:val="nil"/>
              <w:bottom w:val="single" w:sz="4" w:space="0" w:color="auto"/>
              <w:right w:val="single" w:sz="4" w:space="0" w:color="auto"/>
            </w:tcBorders>
            <w:shd w:val="clear" w:color="auto" w:fill="auto"/>
            <w:noWrap/>
            <w:vAlign w:val="center"/>
            <w:hideMark/>
          </w:tcPr>
          <w:p w14:paraId="6731554A"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Average</w:t>
            </w:r>
          </w:p>
        </w:tc>
        <w:tc>
          <w:tcPr>
            <w:tcW w:w="780" w:type="dxa"/>
            <w:tcBorders>
              <w:top w:val="nil"/>
              <w:left w:val="nil"/>
              <w:bottom w:val="single" w:sz="4" w:space="0" w:color="auto"/>
              <w:right w:val="single" w:sz="4" w:space="0" w:color="auto"/>
            </w:tcBorders>
            <w:shd w:val="clear" w:color="auto" w:fill="auto"/>
            <w:noWrap/>
            <w:vAlign w:val="center"/>
            <w:hideMark/>
          </w:tcPr>
          <w:p w14:paraId="6AA1F396"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19.59 </w:t>
            </w:r>
          </w:p>
        </w:tc>
        <w:tc>
          <w:tcPr>
            <w:tcW w:w="780" w:type="dxa"/>
            <w:tcBorders>
              <w:top w:val="nil"/>
              <w:left w:val="nil"/>
              <w:bottom w:val="single" w:sz="4" w:space="0" w:color="auto"/>
              <w:right w:val="single" w:sz="4" w:space="0" w:color="auto"/>
            </w:tcBorders>
            <w:shd w:val="clear" w:color="auto" w:fill="auto"/>
            <w:noWrap/>
            <w:vAlign w:val="center"/>
            <w:hideMark/>
          </w:tcPr>
          <w:p w14:paraId="620ABD6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19.59 </w:t>
            </w:r>
          </w:p>
        </w:tc>
        <w:tc>
          <w:tcPr>
            <w:tcW w:w="780" w:type="dxa"/>
            <w:tcBorders>
              <w:top w:val="nil"/>
              <w:left w:val="nil"/>
              <w:bottom w:val="single" w:sz="4" w:space="0" w:color="auto"/>
              <w:right w:val="single" w:sz="4" w:space="0" w:color="auto"/>
            </w:tcBorders>
            <w:shd w:val="clear" w:color="auto" w:fill="auto"/>
            <w:noWrap/>
            <w:vAlign w:val="center"/>
            <w:hideMark/>
          </w:tcPr>
          <w:p w14:paraId="5111C2B5"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8.91 </w:t>
            </w:r>
          </w:p>
        </w:tc>
        <w:tc>
          <w:tcPr>
            <w:tcW w:w="780" w:type="dxa"/>
            <w:tcBorders>
              <w:top w:val="nil"/>
              <w:left w:val="nil"/>
              <w:bottom w:val="single" w:sz="4" w:space="0" w:color="auto"/>
              <w:right w:val="single" w:sz="4" w:space="0" w:color="auto"/>
            </w:tcBorders>
            <w:shd w:val="clear" w:color="auto" w:fill="auto"/>
            <w:noWrap/>
            <w:vAlign w:val="center"/>
            <w:hideMark/>
          </w:tcPr>
          <w:p w14:paraId="316777DD"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9.42 </w:t>
            </w:r>
          </w:p>
        </w:tc>
        <w:tc>
          <w:tcPr>
            <w:tcW w:w="780" w:type="dxa"/>
            <w:tcBorders>
              <w:top w:val="nil"/>
              <w:left w:val="nil"/>
              <w:bottom w:val="single" w:sz="4" w:space="0" w:color="auto"/>
              <w:right w:val="single" w:sz="4" w:space="0" w:color="auto"/>
            </w:tcBorders>
            <w:shd w:val="clear" w:color="auto" w:fill="auto"/>
            <w:noWrap/>
            <w:vAlign w:val="center"/>
            <w:hideMark/>
          </w:tcPr>
          <w:p w14:paraId="696E3884"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14.49 </w:t>
            </w:r>
          </w:p>
        </w:tc>
        <w:tc>
          <w:tcPr>
            <w:tcW w:w="780" w:type="dxa"/>
            <w:tcBorders>
              <w:top w:val="nil"/>
              <w:left w:val="nil"/>
              <w:bottom w:val="single" w:sz="4" w:space="0" w:color="auto"/>
              <w:right w:val="single" w:sz="4" w:space="0" w:color="auto"/>
            </w:tcBorders>
            <w:shd w:val="clear" w:color="auto" w:fill="auto"/>
            <w:noWrap/>
            <w:vAlign w:val="center"/>
            <w:hideMark/>
          </w:tcPr>
          <w:p w14:paraId="447B1AFC"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16.32 </w:t>
            </w:r>
          </w:p>
        </w:tc>
        <w:tc>
          <w:tcPr>
            <w:tcW w:w="780" w:type="dxa"/>
            <w:tcBorders>
              <w:top w:val="nil"/>
              <w:left w:val="nil"/>
              <w:bottom w:val="single" w:sz="4" w:space="0" w:color="auto"/>
              <w:right w:val="single" w:sz="4" w:space="0" w:color="auto"/>
            </w:tcBorders>
            <w:shd w:val="clear" w:color="auto" w:fill="auto"/>
            <w:noWrap/>
            <w:vAlign w:val="center"/>
            <w:hideMark/>
          </w:tcPr>
          <w:p w14:paraId="41C71920"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7.83 </w:t>
            </w:r>
          </w:p>
        </w:tc>
        <w:tc>
          <w:tcPr>
            <w:tcW w:w="780" w:type="dxa"/>
            <w:tcBorders>
              <w:top w:val="nil"/>
              <w:left w:val="nil"/>
              <w:bottom w:val="single" w:sz="4" w:space="0" w:color="auto"/>
              <w:right w:val="single" w:sz="4" w:space="0" w:color="auto"/>
            </w:tcBorders>
            <w:shd w:val="clear" w:color="auto" w:fill="auto"/>
            <w:noWrap/>
            <w:vAlign w:val="center"/>
            <w:hideMark/>
          </w:tcPr>
          <w:p w14:paraId="0E1BC9D4"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10.46 </w:t>
            </w:r>
          </w:p>
        </w:tc>
      </w:tr>
      <w:tr w:rsidR="000976E3" w:rsidRPr="00AB5D68" w14:paraId="380CAA43" w14:textId="77777777" w:rsidTr="007272F1">
        <w:trPr>
          <w:trHeight w:val="270"/>
          <w:jc w:val="center"/>
        </w:trPr>
        <w:tc>
          <w:tcPr>
            <w:tcW w:w="1129" w:type="dxa"/>
            <w:vMerge/>
            <w:tcBorders>
              <w:top w:val="nil"/>
              <w:left w:val="single" w:sz="4" w:space="0" w:color="auto"/>
              <w:bottom w:val="single" w:sz="4" w:space="0" w:color="auto"/>
              <w:right w:val="single" w:sz="4" w:space="0" w:color="auto"/>
            </w:tcBorders>
            <w:vAlign w:val="center"/>
            <w:hideMark/>
          </w:tcPr>
          <w:p w14:paraId="226F9AE5" w14:textId="77777777" w:rsidR="000976E3" w:rsidRPr="00AB5D68" w:rsidRDefault="000976E3" w:rsidP="005E1C68">
            <w:pPr>
              <w:spacing w:after="0"/>
              <w:jc w:val="center"/>
              <w:rPr>
                <w:rFonts w:eastAsia="MS PGothic" w:cs="Arial"/>
                <w:b/>
                <w:bCs/>
                <w:sz w:val="18"/>
                <w:szCs w:val="18"/>
                <w:lang w:eastAsia="ja-JP"/>
              </w:rPr>
            </w:pPr>
          </w:p>
        </w:tc>
        <w:tc>
          <w:tcPr>
            <w:tcW w:w="909" w:type="dxa"/>
            <w:tcBorders>
              <w:top w:val="nil"/>
              <w:left w:val="nil"/>
              <w:bottom w:val="single" w:sz="4" w:space="0" w:color="auto"/>
              <w:right w:val="single" w:sz="4" w:space="0" w:color="auto"/>
            </w:tcBorders>
            <w:shd w:val="clear" w:color="auto" w:fill="auto"/>
            <w:noWrap/>
            <w:vAlign w:val="center"/>
            <w:hideMark/>
          </w:tcPr>
          <w:p w14:paraId="2E96117E" w14:textId="77777777" w:rsidR="000976E3" w:rsidRPr="00AB5D68" w:rsidRDefault="000976E3" w:rsidP="005E1C68">
            <w:pPr>
              <w:spacing w:after="0"/>
              <w:jc w:val="center"/>
              <w:rPr>
                <w:rFonts w:eastAsia="MS PGothic" w:cs="Arial"/>
                <w:b/>
                <w:bCs/>
                <w:sz w:val="18"/>
                <w:szCs w:val="18"/>
                <w:lang w:eastAsia="ja-JP"/>
              </w:rPr>
            </w:pPr>
            <w:r w:rsidRPr="00AB5D68">
              <w:rPr>
                <w:rFonts w:eastAsia="MS PGothic" w:cs="Arial" w:hint="eastAsia"/>
                <w:b/>
                <w:bCs/>
                <w:sz w:val="18"/>
                <w:szCs w:val="18"/>
                <w:lang w:eastAsia="ja-JP"/>
              </w:rPr>
              <w:t>5%-tile</w:t>
            </w:r>
          </w:p>
        </w:tc>
        <w:tc>
          <w:tcPr>
            <w:tcW w:w="780" w:type="dxa"/>
            <w:tcBorders>
              <w:top w:val="nil"/>
              <w:left w:val="nil"/>
              <w:bottom w:val="single" w:sz="4" w:space="0" w:color="auto"/>
              <w:right w:val="single" w:sz="4" w:space="0" w:color="auto"/>
            </w:tcBorders>
            <w:shd w:val="clear" w:color="auto" w:fill="auto"/>
            <w:noWrap/>
            <w:vAlign w:val="center"/>
            <w:hideMark/>
          </w:tcPr>
          <w:p w14:paraId="4E29E17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15.51 </w:t>
            </w:r>
          </w:p>
        </w:tc>
        <w:tc>
          <w:tcPr>
            <w:tcW w:w="780" w:type="dxa"/>
            <w:tcBorders>
              <w:top w:val="nil"/>
              <w:left w:val="nil"/>
              <w:bottom w:val="single" w:sz="4" w:space="0" w:color="auto"/>
              <w:right w:val="single" w:sz="4" w:space="0" w:color="auto"/>
            </w:tcBorders>
            <w:shd w:val="clear" w:color="auto" w:fill="auto"/>
            <w:noWrap/>
            <w:vAlign w:val="center"/>
            <w:hideMark/>
          </w:tcPr>
          <w:p w14:paraId="37BC8CF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15.51 </w:t>
            </w:r>
          </w:p>
        </w:tc>
        <w:tc>
          <w:tcPr>
            <w:tcW w:w="780" w:type="dxa"/>
            <w:tcBorders>
              <w:top w:val="nil"/>
              <w:left w:val="nil"/>
              <w:bottom w:val="single" w:sz="4" w:space="0" w:color="auto"/>
              <w:right w:val="single" w:sz="4" w:space="0" w:color="auto"/>
            </w:tcBorders>
            <w:shd w:val="clear" w:color="auto" w:fill="auto"/>
            <w:noWrap/>
            <w:vAlign w:val="center"/>
            <w:hideMark/>
          </w:tcPr>
          <w:p w14:paraId="5779CD8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23.43 </w:t>
            </w:r>
          </w:p>
        </w:tc>
        <w:tc>
          <w:tcPr>
            <w:tcW w:w="780" w:type="dxa"/>
            <w:tcBorders>
              <w:top w:val="nil"/>
              <w:left w:val="nil"/>
              <w:bottom w:val="single" w:sz="4" w:space="0" w:color="auto"/>
              <w:right w:val="single" w:sz="4" w:space="0" w:color="auto"/>
            </w:tcBorders>
            <w:shd w:val="clear" w:color="auto" w:fill="auto"/>
            <w:noWrap/>
            <w:vAlign w:val="center"/>
            <w:hideMark/>
          </w:tcPr>
          <w:p w14:paraId="76CEAB67"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22.90 </w:t>
            </w:r>
          </w:p>
        </w:tc>
        <w:tc>
          <w:tcPr>
            <w:tcW w:w="780" w:type="dxa"/>
            <w:tcBorders>
              <w:top w:val="nil"/>
              <w:left w:val="nil"/>
              <w:bottom w:val="single" w:sz="4" w:space="0" w:color="auto"/>
              <w:right w:val="single" w:sz="4" w:space="0" w:color="auto"/>
            </w:tcBorders>
            <w:shd w:val="clear" w:color="auto" w:fill="auto"/>
            <w:noWrap/>
            <w:vAlign w:val="center"/>
            <w:hideMark/>
          </w:tcPr>
          <w:p w14:paraId="719275D1"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23.36 </w:t>
            </w:r>
          </w:p>
        </w:tc>
        <w:tc>
          <w:tcPr>
            <w:tcW w:w="780" w:type="dxa"/>
            <w:tcBorders>
              <w:top w:val="nil"/>
              <w:left w:val="nil"/>
              <w:bottom w:val="single" w:sz="4" w:space="0" w:color="auto"/>
              <w:right w:val="single" w:sz="4" w:space="0" w:color="auto"/>
            </w:tcBorders>
            <w:shd w:val="clear" w:color="auto" w:fill="auto"/>
            <w:noWrap/>
            <w:vAlign w:val="center"/>
            <w:hideMark/>
          </w:tcPr>
          <w:p w14:paraId="1ABEC63E"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23.05 </w:t>
            </w:r>
          </w:p>
        </w:tc>
        <w:tc>
          <w:tcPr>
            <w:tcW w:w="780" w:type="dxa"/>
            <w:tcBorders>
              <w:top w:val="nil"/>
              <w:left w:val="nil"/>
              <w:bottom w:val="single" w:sz="4" w:space="0" w:color="auto"/>
              <w:right w:val="single" w:sz="4" w:space="0" w:color="auto"/>
            </w:tcBorders>
            <w:shd w:val="clear" w:color="auto" w:fill="auto"/>
            <w:noWrap/>
            <w:vAlign w:val="center"/>
            <w:hideMark/>
          </w:tcPr>
          <w:p w14:paraId="23C800FB"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15.46 </w:t>
            </w:r>
          </w:p>
        </w:tc>
        <w:tc>
          <w:tcPr>
            <w:tcW w:w="780" w:type="dxa"/>
            <w:tcBorders>
              <w:top w:val="nil"/>
              <w:left w:val="nil"/>
              <w:bottom w:val="single" w:sz="4" w:space="0" w:color="auto"/>
              <w:right w:val="single" w:sz="4" w:space="0" w:color="auto"/>
            </w:tcBorders>
            <w:shd w:val="clear" w:color="auto" w:fill="auto"/>
            <w:noWrap/>
            <w:vAlign w:val="center"/>
            <w:hideMark/>
          </w:tcPr>
          <w:p w14:paraId="4ADA6976" w14:textId="77777777" w:rsidR="000976E3" w:rsidRPr="00D43F77" w:rsidRDefault="000976E3" w:rsidP="005E1C68">
            <w:pPr>
              <w:spacing w:after="0"/>
              <w:jc w:val="center"/>
              <w:rPr>
                <w:rFonts w:eastAsia="MS PGothic" w:cs="Arial"/>
                <w:color w:val="000000"/>
                <w:sz w:val="18"/>
                <w:szCs w:val="18"/>
                <w:lang w:val="en-US" w:eastAsia="ja-JP"/>
              </w:rPr>
            </w:pPr>
            <w:r w:rsidRPr="00D43F77">
              <w:rPr>
                <w:rFonts w:eastAsia="MS PGothic" w:cs="Arial"/>
                <w:color w:val="000000"/>
                <w:sz w:val="18"/>
                <w:szCs w:val="18"/>
                <w:lang w:val="en-US" w:eastAsia="ja-JP"/>
              </w:rPr>
              <w:t xml:space="preserve">14.60 </w:t>
            </w:r>
          </w:p>
        </w:tc>
      </w:tr>
      <w:tr w:rsidR="000976E3" w:rsidRPr="00AB5D68" w14:paraId="066B8A05" w14:textId="77777777" w:rsidTr="007272F1">
        <w:trPr>
          <w:trHeight w:val="270"/>
          <w:jc w:val="center"/>
        </w:trPr>
        <w:tc>
          <w:tcPr>
            <w:tcW w:w="8278"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C9060" w14:textId="77777777" w:rsidR="000976E3" w:rsidRPr="00D43F77" w:rsidRDefault="000976E3" w:rsidP="005E1C68">
            <w:pPr>
              <w:spacing w:after="0"/>
              <w:rPr>
                <w:rFonts w:eastAsia="MS PGothic" w:cs="Arial"/>
                <w:color w:val="000000"/>
                <w:sz w:val="18"/>
                <w:szCs w:val="18"/>
                <w:lang w:val="en-US" w:eastAsia="ja-JP"/>
              </w:rPr>
            </w:pPr>
            <w:r w:rsidRPr="00D43F77">
              <w:rPr>
                <w:rFonts w:eastAsia="MS PGothic" w:cs="Arial"/>
                <w:color w:val="000000"/>
                <w:sz w:val="18"/>
                <w:szCs w:val="18"/>
                <w:lang w:val="en-US" w:eastAsia="ja-JP"/>
              </w:rPr>
              <w:t>* NF=10 is assumed</w:t>
            </w:r>
          </w:p>
        </w:tc>
      </w:tr>
    </w:tbl>
    <w:p w14:paraId="20701E76" w14:textId="77777777" w:rsidR="00C451C1" w:rsidRDefault="00C451C1" w:rsidP="007272F1">
      <w:pPr>
        <w:pStyle w:val="TAH"/>
        <w:rPr>
          <w:rFonts w:eastAsia="SimSun"/>
          <w:lang w:eastAsia="ja-JP"/>
        </w:rPr>
      </w:pPr>
    </w:p>
    <w:p w14:paraId="1D64CA50" w14:textId="1C98793F" w:rsidR="007272F1" w:rsidRPr="00BC0426" w:rsidRDefault="007272F1" w:rsidP="007272F1">
      <w:pPr>
        <w:pStyle w:val="TAH"/>
        <w:rPr>
          <w:rFonts w:eastAsia="SimSun"/>
          <w:lang w:eastAsia="ja-JP"/>
        </w:rPr>
      </w:pPr>
      <w:r w:rsidRPr="00BC0426">
        <w:rPr>
          <w:rFonts w:eastAsia="SimSun" w:hint="eastAsia"/>
          <w:lang w:eastAsia="ja-JP"/>
        </w:rPr>
        <w:t>Table 5.5-</w:t>
      </w:r>
      <w:r>
        <w:rPr>
          <w:lang w:eastAsia="ja-JP"/>
        </w:rPr>
        <w:t>10</w:t>
      </w:r>
      <w:r w:rsidRPr="00BC0426">
        <w:rPr>
          <w:rFonts w:eastAsia="SimSun" w:hint="eastAsia"/>
          <w:lang w:eastAsia="ja-JP"/>
        </w:rPr>
        <w:t xml:space="preserve">: </w:t>
      </w:r>
      <w:r w:rsidRPr="00BC0426">
        <w:rPr>
          <w:rFonts w:hint="eastAsia"/>
          <w:lang w:eastAsia="ja-JP"/>
        </w:rPr>
        <w:t>U</w:t>
      </w:r>
      <w:r>
        <w:rPr>
          <w:rFonts w:hint="eastAsia"/>
          <w:lang w:eastAsia="ja-JP"/>
        </w:rPr>
        <w:t>E</w:t>
      </w:r>
      <w:r w:rsidRPr="00BC0426">
        <w:rPr>
          <w:rFonts w:eastAsia="SimSun" w:hint="eastAsia"/>
          <w:lang w:eastAsia="ja-JP"/>
        </w:rPr>
        <w:t xml:space="preserve"> </w:t>
      </w:r>
      <w:r w:rsidRPr="00BC0426">
        <w:rPr>
          <w:rFonts w:hint="eastAsia"/>
          <w:lang w:eastAsia="ja-JP"/>
        </w:rPr>
        <w:t>ACS</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80"/>
        <w:gridCol w:w="940"/>
        <w:gridCol w:w="780"/>
        <w:gridCol w:w="780"/>
      </w:tblGrid>
      <w:tr w:rsidR="007272F1" w:rsidRPr="00C511E5" w14:paraId="6C8A1009" w14:textId="77777777" w:rsidTr="005E1C68">
        <w:trPr>
          <w:trHeight w:val="285"/>
          <w:jc w:val="center"/>
        </w:trPr>
        <w:tc>
          <w:tcPr>
            <w:tcW w:w="1580" w:type="dxa"/>
            <w:shd w:val="clear" w:color="auto" w:fill="auto"/>
            <w:vAlign w:val="center"/>
            <w:hideMark/>
          </w:tcPr>
          <w:p w14:paraId="3EB21829" w14:textId="77777777" w:rsidR="007272F1" w:rsidRPr="00C511E5" w:rsidRDefault="007272F1" w:rsidP="005E1C68">
            <w:pPr>
              <w:spacing w:after="0"/>
              <w:jc w:val="center"/>
              <w:rPr>
                <w:rFonts w:eastAsia="MS PGothic" w:cs="Arial"/>
                <w:b/>
                <w:bCs/>
                <w:sz w:val="18"/>
                <w:szCs w:val="18"/>
                <w:lang w:val="en-US" w:eastAsia="ja-JP"/>
              </w:rPr>
            </w:pPr>
            <w:r w:rsidRPr="00C511E5">
              <w:rPr>
                <w:rFonts w:eastAsia="MS PGothic" w:cs="Arial"/>
                <w:b/>
                <w:bCs/>
                <w:sz w:val="18"/>
                <w:szCs w:val="18"/>
                <w:lang w:eastAsia="ja-JP"/>
              </w:rPr>
              <w:t xml:space="preserve">　</w:t>
            </w:r>
          </w:p>
        </w:tc>
        <w:tc>
          <w:tcPr>
            <w:tcW w:w="940" w:type="dxa"/>
            <w:shd w:val="clear" w:color="auto" w:fill="auto"/>
            <w:vAlign w:val="center"/>
            <w:hideMark/>
          </w:tcPr>
          <w:p w14:paraId="5155A01B" w14:textId="77777777" w:rsidR="007272F1" w:rsidRPr="00C511E5" w:rsidRDefault="007272F1" w:rsidP="005E1C68">
            <w:pPr>
              <w:spacing w:after="0"/>
              <w:jc w:val="center"/>
              <w:rPr>
                <w:rFonts w:eastAsia="MS PGothic" w:cs="Arial"/>
                <w:b/>
                <w:bCs/>
                <w:sz w:val="18"/>
                <w:szCs w:val="18"/>
                <w:lang w:val="en-US" w:eastAsia="ja-JP"/>
              </w:rPr>
            </w:pPr>
            <w:r w:rsidRPr="00C511E5">
              <w:rPr>
                <w:rFonts w:eastAsia="MS PGothic" w:cs="Arial"/>
                <w:b/>
                <w:bCs/>
                <w:sz w:val="18"/>
                <w:szCs w:val="18"/>
                <w:lang w:eastAsia="ja-JP"/>
              </w:rPr>
              <w:t>30GHz</w:t>
            </w:r>
          </w:p>
        </w:tc>
        <w:tc>
          <w:tcPr>
            <w:tcW w:w="780" w:type="dxa"/>
            <w:shd w:val="clear" w:color="auto" w:fill="auto"/>
            <w:vAlign w:val="center"/>
            <w:hideMark/>
          </w:tcPr>
          <w:p w14:paraId="5CEC0306" w14:textId="77777777" w:rsidR="007272F1" w:rsidRPr="00C511E5" w:rsidRDefault="007272F1" w:rsidP="005E1C68">
            <w:pPr>
              <w:spacing w:after="0"/>
              <w:jc w:val="center"/>
              <w:rPr>
                <w:rFonts w:eastAsia="MS PGothic" w:cs="Arial"/>
                <w:b/>
                <w:bCs/>
                <w:sz w:val="18"/>
                <w:szCs w:val="18"/>
                <w:lang w:val="en-US" w:eastAsia="ja-JP"/>
              </w:rPr>
            </w:pPr>
            <w:r w:rsidRPr="00C511E5">
              <w:rPr>
                <w:rFonts w:eastAsia="MS PGothic" w:cs="Arial"/>
                <w:b/>
                <w:bCs/>
                <w:sz w:val="18"/>
                <w:szCs w:val="18"/>
                <w:lang w:eastAsia="ja-JP"/>
              </w:rPr>
              <w:t>45GHz</w:t>
            </w:r>
          </w:p>
        </w:tc>
        <w:tc>
          <w:tcPr>
            <w:tcW w:w="780" w:type="dxa"/>
            <w:shd w:val="clear" w:color="auto" w:fill="auto"/>
            <w:vAlign w:val="center"/>
            <w:hideMark/>
          </w:tcPr>
          <w:p w14:paraId="653CE780" w14:textId="77777777" w:rsidR="007272F1" w:rsidRPr="00C511E5" w:rsidRDefault="007272F1" w:rsidP="005E1C68">
            <w:pPr>
              <w:spacing w:after="0"/>
              <w:jc w:val="center"/>
              <w:rPr>
                <w:rFonts w:eastAsia="MS PGothic" w:cs="Arial"/>
                <w:b/>
                <w:bCs/>
                <w:sz w:val="18"/>
                <w:szCs w:val="18"/>
                <w:lang w:val="en-US" w:eastAsia="ja-JP"/>
              </w:rPr>
            </w:pPr>
            <w:r w:rsidRPr="00C511E5">
              <w:rPr>
                <w:rFonts w:eastAsia="MS PGothic" w:cs="Arial"/>
                <w:b/>
                <w:bCs/>
                <w:sz w:val="18"/>
                <w:szCs w:val="18"/>
                <w:lang w:eastAsia="ja-JP"/>
              </w:rPr>
              <w:t>70GHz</w:t>
            </w:r>
          </w:p>
        </w:tc>
      </w:tr>
      <w:tr w:rsidR="007272F1" w:rsidRPr="00C511E5" w14:paraId="783289EA" w14:textId="77777777" w:rsidTr="005E1C68">
        <w:trPr>
          <w:trHeight w:val="285"/>
          <w:jc w:val="center"/>
        </w:trPr>
        <w:tc>
          <w:tcPr>
            <w:tcW w:w="1580" w:type="dxa"/>
            <w:shd w:val="clear" w:color="auto" w:fill="auto"/>
            <w:vAlign w:val="center"/>
            <w:hideMark/>
          </w:tcPr>
          <w:p w14:paraId="079610C0" w14:textId="77777777" w:rsidR="007272F1" w:rsidRPr="00C511E5" w:rsidRDefault="007272F1" w:rsidP="005E1C68">
            <w:pPr>
              <w:spacing w:after="0"/>
              <w:jc w:val="center"/>
              <w:rPr>
                <w:rFonts w:eastAsia="MS PGothic" w:cs="Arial"/>
                <w:b/>
                <w:bCs/>
                <w:sz w:val="18"/>
                <w:szCs w:val="18"/>
                <w:lang w:val="en-US" w:eastAsia="ja-JP"/>
              </w:rPr>
            </w:pPr>
            <w:r w:rsidRPr="00BC0426">
              <w:rPr>
                <w:rFonts w:eastAsia="MS PGothic" w:cs="Arial" w:hint="eastAsia"/>
                <w:b/>
                <w:bCs/>
                <w:sz w:val="18"/>
                <w:szCs w:val="18"/>
                <w:lang w:eastAsia="ja-JP"/>
              </w:rPr>
              <w:t xml:space="preserve">UE </w:t>
            </w:r>
            <w:r w:rsidRPr="00C511E5">
              <w:rPr>
                <w:rFonts w:eastAsia="MS PGothic" w:cs="Arial"/>
                <w:b/>
                <w:bCs/>
                <w:sz w:val="18"/>
                <w:szCs w:val="18"/>
                <w:lang w:eastAsia="ja-JP"/>
              </w:rPr>
              <w:t>A</w:t>
            </w:r>
            <w:r>
              <w:rPr>
                <w:rFonts w:eastAsia="MS PGothic" w:cs="Arial"/>
                <w:b/>
                <w:bCs/>
                <w:sz w:val="18"/>
                <w:szCs w:val="18"/>
                <w:lang w:eastAsia="ja-JP"/>
              </w:rPr>
              <w:t>CS</w:t>
            </w:r>
            <w:r w:rsidRPr="00C511E5">
              <w:rPr>
                <w:rFonts w:eastAsia="MS PGothic" w:cs="Arial"/>
                <w:b/>
                <w:bCs/>
                <w:sz w:val="18"/>
                <w:szCs w:val="18"/>
                <w:lang w:eastAsia="ja-JP"/>
              </w:rPr>
              <w:t xml:space="preserve"> value</w:t>
            </w:r>
            <w:r>
              <w:rPr>
                <w:rFonts w:eastAsia="MS PGothic" w:cs="Arial" w:hint="eastAsia"/>
                <w:b/>
                <w:bCs/>
                <w:sz w:val="18"/>
                <w:szCs w:val="18"/>
                <w:lang w:eastAsia="ja-JP"/>
              </w:rPr>
              <w:t xml:space="preserve"> [dB]</w:t>
            </w:r>
          </w:p>
        </w:tc>
        <w:tc>
          <w:tcPr>
            <w:tcW w:w="940" w:type="dxa"/>
            <w:shd w:val="clear" w:color="auto" w:fill="auto"/>
            <w:vAlign w:val="center"/>
            <w:hideMark/>
          </w:tcPr>
          <w:p w14:paraId="230D4362" w14:textId="77777777" w:rsidR="007272F1" w:rsidRPr="00D43F77" w:rsidRDefault="007272F1" w:rsidP="005E1C68">
            <w:pPr>
              <w:spacing w:after="0"/>
              <w:jc w:val="center"/>
              <w:rPr>
                <w:rFonts w:eastAsia="MS PGothic" w:cs="Arial"/>
                <w:sz w:val="18"/>
                <w:szCs w:val="18"/>
                <w:lang w:val="en-US" w:eastAsia="ja-JP"/>
              </w:rPr>
            </w:pPr>
            <w:r w:rsidRPr="00D43F77">
              <w:rPr>
                <w:rFonts w:eastAsia="MS PGothic" w:cs="Arial"/>
                <w:sz w:val="18"/>
                <w:szCs w:val="18"/>
                <w:lang w:eastAsia="ja-JP"/>
              </w:rPr>
              <w:t>22.5</w:t>
            </w:r>
          </w:p>
        </w:tc>
        <w:tc>
          <w:tcPr>
            <w:tcW w:w="780" w:type="dxa"/>
            <w:shd w:val="clear" w:color="auto" w:fill="auto"/>
            <w:vAlign w:val="center"/>
            <w:hideMark/>
          </w:tcPr>
          <w:p w14:paraId="4EDED1D4" w14:textId="77777777" w:rsidR="007272F1" w:rsidRPr="00D43F77" w:rsidRDefault="007272F1" w:rsidP="005E1C68">
            <w:pPr>
              <w:spacing w:after="0"/>
              <w:jc w:val="center"/>
              <w:rPr>
                <w:rFonts w:eastAsia="MS PGothic" w:cs="Arial"/>
                <w:sz w:val="18"/>
                <w:szCs w:val="18"/>
                <w:lang w:val="en-US" w:eastAsia="ja-JP"/>
              </w:rPr>
            </w:pPr>
            <w:r w:rsidRPr="00D43F77">
              <w:rPr>
                <w:rFonts w:eastAsia="MS PGothic" w:cs="Arial"/>
                <w:sz w:val="18"/>
                <w:szCs w:val="18"/>
                <w:lang w:eastAsia="ja-JP"/>
              </w:rPr>
              <w:t>21.5</w:t>
            </w:r>
          </w:p>
        </w:tc>
        <w:tc>
          <w:tcPr>
            <w:tcW w:w="780" w:type="dxa"/>
            <w:shd w:val="clear" w:color="auto" w:fill="auto"/>
            <w:vAlign w:val="center"/>
            <w:hideMark/>
          </w:tcPr>
          <w:p w14:paraId="552499F1" w14:textId="77777777" w:rsidR="007272F1" w:rsidRPr="00D43F77" w:rsidRDefault="007272F1" w:rsidP="005E1C68">
            <w:pPr>
              <w:spacing w:after="0"/>
              <w:jc w:val="center"/>
              <w:rPr>
                <w:rFonts w:eastAsia="MS PGothic" w:cs="Arial"/>
                <w:sz w:val="18"/>
                <w:szCs w:val="18"/>
                <w:lang w:val="en-US" w:eastAsia="ja-JP"/>
              </w:rPr>
            </w:pPr>
            <w:r w:rsidRPr="00D43F77">
              <w:rPr>
                <w:rFonts w:eastAsia="MS PGothic" w:cs="Arial"/>
                <w:sz w:val="18"/>
                <w:szCs w:val="18"/>
                <w:lang w:eastAsia="ja-JP"/>
              </w:rPr>
              <w:t>20.5</w:t>
            </w:r>
          </w:p>
        </w:tc>
      </w:tr>
    </w:tbl>
    <w:p w14:paraId="45E1CE45" w14:textId="77777777" w:rsidR="007272F1" w:rsidRPr="00BC0426" w:rsidRDefault="007272F1" w:rsidP="007272F1">
      <w:pPr>
        <w:pStyle w:val="Guidance"/>
        <w:jc w:val="center"/>
        <w:rPr>
          <w:b/>
          <w:i w:val="0"/>
          <w:color w:val="auto"/>
          <w:lang w:eastAsia="ja-JP"/>
        </w:rPr>
      </w:pPr>
    </w:p>
    <w:p w14:paraId="02B2F514" w14:textId="77777777" w:rsidR="007272F1" w:rsidRPr="00BC0426" w:rsidRDefault="007272F1" w:rsidP="007272F1">
      <w:pPr>
        <w:pStyle w:val="TAH"/>
        <w:rPr>
          <w:rFonts w:eastAsia="SimSun"/>
          <w:lang w:eastAsia="ja-JP"/>
        </w:rPr>
      </w:pPr>
      <w:r w:rsidRPr="00BC0426">
        <w:rPr>
          <w:rFonts w:eastAsia="SimSun" w:hint="eastAsia"/>
          <w:lang w:eastAsia="ja-JP"/>
        </w:rPr>
        <w:t>Table 5.5-</w:t>
      </w:r>
      <w:r>
        <w:rPr>
          <w:lang w:eastAsia="ja-JP"/>
        </w:rPr>
        <w:t>11</w:t>
      </w:r>
      <w:r w:rsidRPr="00BC0426">
        <w:rPr>
          <w:rFonts w:eastAsia="SimSun" w:hint="eastAsia"/>
          <w:lang w:eastAsia="ja-JP"/>
        </w:rPr>
        <w:t xml:space="preserve">: </w:t>
      </w:r>
      <w:r w:rsidRPr="00BC0426">
        <w:rPr>
          <w:rFonts w:hint="eastAsia"/>
          <w:lang w:eastAsia="ja-JP"/>
        </w:rPr>
        <w:t>BS</w:t>
      </w:r>
      <w:r w:rsidRPr="00BC0426">
        <w:rPr>
          <w:rFonts w:eastAsia="SimSun" w:hint="eastAsia"/>
          <w:lang w:eastAsia="ja-JP"/>
        </w:rPr>
        <w:t xml:space="preserve"> </w:t>
      </w:r>
      <w:r w:rsidRPr="00BC0426">
        <w:rPr>
          <w:rFonts w:hint="eastAsia"/>
          <w:lang w:eastAsia="ja-JP"/>
        </w:rPr>
        <w:t>ACLR</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80"/>
        <w:gridCol w:w="940"/>
        <w:gridCol w:w="780"/>
        <w:gridCol w:w="780"/>
      </w:tblGrid>
      <w:tr w:rsidR="007272F1" w:rsidRPr="00C511E5" w14:paraId="5F3A827C" w14:textId="77777777" w:rsidTr="005E1C68">
        <w:trPr>
          <w:trHeight w:val="285"/>
          <w:jc w:val="center"/>
        </w:trPr>
        <w:tc>
          <w:tcPr>
            <w:tcW w:w="1580" w:type="dxa"/>
            <w:shd w:val="clear" w:color="auto" w:fill="auto"/>
            <w:vAlign w:val="center"/>
            <w:hideMark/>
          </w:tcPr>
          <w:p w14:paraId="2670A2BC" w14:textId="77777777" w:rsidR="007272F1" w:rsidRPr="00C511E5" w:rsidRDefault="007272F1" w:rsidP="005E1C68">
            <w:pPr>
              <w:spacing w:after="0"/>
              <w:jc w:val="center"/>
              <w:rPr>
                <w:rFonts w:eastAsia="MS PGothic" w:cs="Arial"/>
                <w:b/>
                <w:bCs/>
                <w:sz w:val="18"/>
                <w:szCs w:val="18"/>
                <w:lang w:val="en-US" w:eastAsia="ja-JP"/>
              </w:rPr>
            </w:pPr>
            <w:r w:rsidRPr="00C511E5">
              <w:rPr>
                <w:rFonts w:eastAsia="MS PGothic" w:cs="Arial"/>
                <w:b/>
                <w:bCs/>
                <w:sz w:val="18"/>
                <w:szCs w:val="18"/>
                <w:lang w:eastAsia="ja-JP"/>
              </w:rPr>
              <w:t xml:space="preserve">　</w:t>
            </w:r>
          </w:p>
        </w:tc>
        <w:tc>
          <w:tcPr>
            <w:tcW w:w="940" w:type="dxa"/>
            <w:shd w:val="clear" w:color="auto" w:fill="auto"/>
            <w:vAlign w:val="center"/>
            <w:hideMark/>
          </w:tcPr>
          <w:p w14:paraId="4A1FCF0E" w14:textId="77777777" w:rsidR="007272F1" w:rsidRPr="00C511E5" w:rsidRDefault="007272F1" w:rsidP="005E1C68">
            <w:pPr>
              <w:spacing w:after="0"/>
              <w:jc w:val="center"/>
              <w:rPr>
                <w:rFonts w:eastAsia="MS PGothic" w:cs="Arial"/>
                <w:b/>
                <w:bCs/>
                <w:sz w:val="18"/>
                <w:szCs w:val="18"/>
                <w:lang w:val="en-US" w:eastAsia="ja-JP"/>
              </w:rPr>
            </w:pPr>
            <w:r w:rsidRPr="00C511E5">
              <w:rPr>
                <w:rFonts w:eastAsia="MS PGothic" w:cs="Arial"/>
                <w:b/>
                <w:bCs/>
                <w:sz w:val="18"/>
                <w:szCs w:val="18"/>
                <w:lang w:eastAsia="ja-JP"/>
              </w:rPr>
              <w:t>30GHz</w:t>
            </w:r>
          </w:p>
        </w:tc>
        <w:tc>
          <w:tcPr>
            <w:tcW w:w="780" w:type="dxa"/>
            <w:shd w:val="clear" w:color="auto" w:fill="auto"/>
            <w:vAlign w:val="center"/>
            <w:hideMark/>
          </w:tcPr>
          <w:p w14:paraId="415724E0" w14:textId="77777777" w:rsidR="007272F1" w:rsidRPr="00C511E5" w:rsidRDefault="007272F1" w:rsidP="005E1C68">
            <w:pPr>
              <w:spacing w:after="0"/>
              <w:jc w:val="center"/>
              <w:rPr>
                <w:rFonts w:eastAsia="MS PGothic" w:cs="Arial"/>
                <w:b/>
                <w:bCs/>
                <w:sz w:val="18"/>
                <w:szCs w:val="18"/>
                <w:lang w:val="en-US" w:eastAsia="ja-JP"/>
              </w:rPr>
            </w:pPr>
            <w:r w:rsidRPr="00C511E5">
              <w:rPr>
                <w:rFonts w:eastAsia="MS PGothic" w:cs="Arial"/>
                <w:b/>
                <w:bCs/>
                <w:sz w:val="18"/>
                <w:szCs w:val="18"/>
                <w:lang w:eastAsia="ja-JP"/>
              </w:rPr>
              <w:t>45GHz</w:t>
            </w:r>
          </w:p>
        </w:tc>
        <w:tc>
          <w:tcPr>
            <w:tcW w:w="780" w:type="dxa"/>
            <w:shd w:val="clear" w:color="auto" w:fill="auto"/>
            <w:vAlign w:val="center"/>
            <w:hideMark/>
          </w:tcPr>
          <w:p w14:paraId="472E8894" w14:textId="77777777" w:rsidR="007272F1" w:rsidRPr="00C511E5" w:rsidRDefault="007272F1" w:rsidP="005E1C68">
            <w:pPr>
              <w:spacing w:after="0"/>
              <w:jc w:val="center"/>
              <w:rPr>
                <w:rFonts w:eastAsia="MS PGothic" w:cs="Arial"/>
                <w:b/>
                <w:bCs/>
                <w:sz w:val="18"/>
                <w:szCs w:val="18"/>
                <w:lang w:val="en-US" w:eastAsia="ja-JP"/>
              </w:rPr>
            </w:pPr>
            <w:r w:rsidRPr="00C511E5">
              <w:rPr>
                <w:rFonts w:eastAsia="MS PGothic" w:cs="Arial"/>
                <w:b/>
                <w:bCs/>
                <w:sz w:val="18"/>
                <w:szCs w:val="18"/>
                <w:lang w:eastAsia="ja-JP"/>
              </w:rPr>
              <w:t>70GHz</w:t>
            </w:r>
          </w:p>
        </w:tc>
      </w:tr>
      <w:tr w:rsidR="007272F1" w:rsidRPr="00C511E5" w14:paraId="6B6EF7EC" w14:textId="77777777" w:rsidTr="005E1C68">
        <w:trPr>
          <w:trHeight w:val="285"/>
          <w:jc w:val="center"/>
        </w:trPr>
        <w:tc>
          <w:tcPr>
            <w:tcW w:w="1580" w:type="dxa"/>
            <w:shd w:val="clear" w:color="auto" w:fill="auto"/>
            <w:vAlign w:val="center"/>
            <w:hideMark/>
          </w:tcPr>
          <w:p w14:paraId="62ACBE63" w14:textId="77777777" w:rsidR="007272F1" w:rsidRPr="00C511E5" w:rsidRDefault="007272F1" w:rsidP="005E1C68">
            <w:pPr>
              <w:spacing w:after="0"/>
              <w:jc w:val="center"/>
              <w:rPr>
                <w:rFonts w:eastAsia="MS PGothic" w:cs="Arial"/>
                <w:b/>
                <w:bCs/>
                <w:sz w:val="18"/>
                <w:szCs w:val="18"/>
                <w:lang w:val="en-US" w:eastAsia="ja-JP"/>
              </w:rPr>
            </w:pPr>
            <w:r>
              <w:rPr>
                <w:rFonts w:eastAsia="MS PGothic" w:cs="Arial"/>
                <w:b/>
                <w:bCs/>
                <w:sz w:val="18"/>
                <w:szCs w:val="18"/>
                <w:lang w:eastAsia="ja-JP"/>
              </w:rPr>
              <w:t>BS</w:t>
            </w:r>
            <w:r w:rsidRPr="00BC0426">
              <w:rPr>
                <w:rFonts w:eastAsia="MS PGothic" w:cs="Arial" w:hint="eastAsia"/>
                <w:b/>
                <w:bCs/>
                <w:sz w:val="18"/>
                <w:szCs w:val="18"/>
                <w:lang w:eastAsia="ja-JP"/>
              </w:rPr>
              <w:t xml:space="preserve"> </w:t>
            </w:r>
            <w:r w:rsidRPr="00C511E5">
              <w:rPr>
                <w:rFonts w:eastAsia="MS PGothic" w:cs="Arial"/>
                <w:b/>
                <w:bCs/>
                <w:sz w:val="18"/>
                <w:szCs w:val="18"/>
                <w:lang w:eastAsia="ja-JP"/>
              </w:rPr>
              <w:t>AC</w:t>
            </w:r>
            <w:r w:rsidRPr="00BC0426">
              <w:rPr>
                <w:rFonts w:eastAsia="MS PGothic" w:cs="Arial" w:hint="eastAsia"/>
                <w:b/>
                <w:bCs/>
                <w:sz w:val="18"/>
                <w:szCs w:val="18"/>
                <w:lang w:eastAsia="ja-JP"/>
              </w:rPr>
              <w:t>L</w:t>
            </w:r>
            <w:r w:rsidRPr="00C511E5">
              <w:rPr>
                <w:rFonts w:eastAsia="MS PGothic" w:cs="Arial"/>
                <w:b/>
                <w:bCs/>
                <w:sz w:val="18"/>
                <w:szCs w:val="18"/>
                <w:lang w:eastAsia="ja-JP"/>
              </w:rPr>
              <w:t>R value</w:t>
            </w:r>
            <w:r>
              <w:rPr>
                <w:rFonts w:eastAsia="MS PGothic" w:cs="Arial" w:hint="eastAsia"/>
                <w:b/>
                <w:bCs/>
                <w:sz w:val="18"/>
                <w:szCs w:val="18"/>
                <w:lang w:eastAsia="ja-JP"/>
              </w:rPr>
              <w:t xml:space="preserve"> [dB]</w:t>
            </w:r>
          </w:p>
        </w:tc>
        <w:tc>
          <w:tcPr>
            <w:tcW w:w="940" w:type="dxa"/>
            <w:shd w:val="clear" w:color="auto" w:fill="auto"/>
            <w:vAlign w:val="center"/>
            <w:hideMark/>
          </w:tcPr>
          <w:p w14:paraId="1810D906" w14:textId="77777777" w:rsidR="007272F1" w:rsidRPr="00D43F77" w:rsidRDefault="007272F1" w:rsidP="005E1C68">
            <w:pPr>
              <w:spacing w:after="0"/>
              <w:jc w:val="center"/>
              <w:rPr>
                <w:rFonts w:eastAsia="MS PGothic" w:cs="Arial"/>
                <w:sz w:val="18"/>
                <w:szCs w:val="18"/>
                <w:lang w:val="en-US" w:eastAsia="ja-JP"/>
              </w:rPr>
            </w:pPr>
            <w:r w:rsidRPr="00D43F77">
              <w:rPr>
                <w:rFonts w:eastAsia="MS PGothic" w:cs="Arial"/>
                <w:sz w:val="18"/>
                <w:szCs w:val="18"/>
                <w:lang w:eastAsia="ja-JP"/>
              </w:rPr>
              <w:t>27.5</w:t>
            </w:r>
          </w:p>
        </w:tc>
        <w:tc>
          <w:tcPr>
            <w:tcW w:w="780" w:type="dxa"/>
            <w:shd w:val="clear" w:color="auto" w:fill="auto"/>
            <w:vAlign w:val="center"/>
            <w:hideMark/>
          </w:tcPr>
          <w:p w14:paraId="596274B9" w14:textId="77777777" w:rsidR="007272F1" w:rsidRPr="00D43F77" w:rsidRDefault="007272F1" w:rsidP="005E1C68">
            <w:pPr>
              <w:spacing w:after="0"/>
              <w:jc w:val="center"/>
              <w:rPr>
                <w:rFonts w:eastAsia="MS PGothic" w:cs="Arial"/>
                <w:sz w:val="18"/>
                <w:szCs w:val="18"/>
                <w:lang w:val="en-US" w:eastAsia="ja-JP"/>
              </w:rPr>
            </w:pPr>
            <w:r w:rsidRPr="00D43F77">
              <w:rPr>
                <w:rFonts w:eastAsia="MS PGothic" w:cs="Arial"/>
                <w:sz w:val="18"/>
                <w:szCs w:val="18"/>
                <w:lang w:eastAsia="ja-JP"/>
              </w:rPr>
              <w:t>25.5</w:t>
            </w:r>
          </w:p>
        </w:tc>
        <w:tc>
          <w:tcPr>
            <w:tcW w:w="780" w:type="dxa"/>
            <w:shd w:val="clear" w:color="auto" w:fill="auto"/>
            <w:vAlign w:val="center"/>
            <w:hideMark/>
          </w:tcPr>
          <w:p w14:paraId="3124CA3B" w14:textId="77777777" w:rsidR="007272F1" w:rsidRPr="00D43F77" w:rsidRDefault="007272F1" w:rsidP="005E1C68">
            <w:pPr>
              <w:spacing w:after="0"/>
              <w:jc w:val="center"/>
              <w:rPr>
                <w:rFonts w:eastAsia="MS PGothic" w:cs="Arial"/>
                <w:sz w:val="18"/>
                <w:szCs w:val="18"/>
                <w:lang w:val="en-US" w:eastAsia="ja-JP"/>
              </w:rPr>
            </w:pPr>
            <w:r w:rsidRPr="00D43F77">
              <w:rPr>
                <w:rFonts w:eastAsia="MS PGothic" w:cs="Arial"/>
                <w:sz w:val="18"/>
                <w:szCs w:val="18"/>
                <w:lang w:eastAsia="ja-JP"/>
              </w:rPr>
              <w:t>23.5</w:t>
            </w:r>
          </w:p>
        </w:tc>
      </w:tr>
    </w:tbl>
    <w:p w14:paraId="1CB2A138" w14:textId="77777777" w:rsidR="004B470C" w:rsidRDefault="004B470C" w:rsidP="00E05F90">
      <w:pPr>
        <w:rPr>
          <w:lang w:val="en-US"/>
        </w:rPr>
      </w:pPr>
    </w:p>
    <w:p w14:paraId="6A25522F" w14:textId="2EFF9D38" w:rsidR="000976E3" w:rsidRDefault="004B470C" w:rsidP="00E05F90">
      <w:pPr>
        <w:rPr>
          <w:lang w:val="en-US"/>
        </w:rPr>
      </w:pPr>
      <w:r>
        <w:rPr>
          <w:lang w:val="en-US"/>
        </w:rPr>
        <w:t xml:space="preserve">Looking at the ACIR results above and along with thr decided ACLR values as in Table above, according to investigations by majority of the companies, there is 8~10dB margin in ACLR for 30GHz case. The margins are large for low power cases, i.e. dense urban and indoor cells. Similar margins can also be seen for other frequency cases. Thus, this can be ensured that, the absolute limit to BS ACLR will not cause degradation in coexistence performance for NR, when low power BS is used. </w:t>
      </w:r>
    </w:p>
    <w:p w14:paraId="1F3F4B62" w14:textId="63E35463" w:rsidR="004B470C" w:rsidRPr="00E05F90" w:rsidRDefault="004B470C" w:rsidP="00E05F90">
      <w:pPr>
        <w:rPr>
          <w:b/>
          <w:i/>
          <w:lang w:val="en-US"/>
        </w:rPr>
      </w:pPr>
      <w:r w:rsidRPr="00E05F90">
        <w:rPr>
          <w:b/>
          <w:i/>
          <w:lang w:val="en-US"/>
        </w:rPr>
        <w:t>Observation: Introducing absolute limit for BS ACLR will not cause degradation to NR coexistence performance.</w:t>
      </w:r>
    </w:p>
    <w:p w14:paraId="17A7C60F" w14:textId="79607A35" w:rsidR="00D04BC4" w:rsidRDefault="004B470C" w:rsidP="00C01F33">
      <w:pPr>
        <w:pStyle w:val="Heading1"/>
        <w:rPr>
          <w:lang w:val="en-US"/>
        </w:rPr>
      </w:pPr>
      <w:r>
        <w:rPr>
          <w:lang w:val="en-US"/>
        </w:rPr>
        <w:t>Proposal</w:t>
      </w:r>
    </w:p>
    <w:p w14:paraId="6791B81B" w14:textId="77777777" w:rsidR="00E05F90" w:rsidRDefault="00E05F90" w:rsidP="008C1D78">
      <w:pPr>
        <w:rPr>
          <w:lang w:val="en-US"/>
        </w:rPr>
      </w:pPr>
      <w:r>
        <w:rPr>
          <w:lang w:val="en-US"/>
        </w:rPr>
        <w:t xml:space="preserve">Based on the above discussions, we propose the following: </w:t>
      </w:r>
    </w:p>
    <w:p w14:paraId="0AE4D684" w14:textId="0EB67101" w:rsidR="00E05F90" w:rsidRPr="00E05F90" w:rsidRDefault="00E05F90" w:rsidP="008C1D78">
      <w:pPr>
        <w:rPr>
          <w:b/>
          <w:i/>
        </w:rPr>
      </w:pPr>
      <w:r w:rsidRPr="00E05F90">
        <w:rPr>
          <w:b/>
          <w:i/>
          <w:lang w:val="en-US"/>
        </w:rPr>
        <w:t xml:space="preserve">Proposal: </w:t>
      </w:r>
      <w:r w:rsidRPr="00E05F90">
        <w:rPr>
          <w:b/>
          <w:i/>
        </w:rPr>
        <w:t>Ab</w:t>
      </w:r>
      <w:r w:rsidR="005E1C68">
        <w:rPr>
          <w:b/>
          <w:i/>
        </w:rPr>
        <w:t>s</w:t>
      </w:r>
      <w:r w:rsidRPr="00E05F90">
        <w:rPr>
          <w:b/>
          <w:i/>
        </w:rPr>
        <w:t xml:space="preserve">olute ACLR limits for mmWave NR BS shall </w:t>
      </w:r>
      <w:r w:rsidRPr="00E05F90">
        <w:rPr>
          <w:rFonts w:hint="eastAsia"/>
          <w:b/>
          <w:i/>
        </w:rPr>
        <w:t>be equal to in-band spurious emission limit.</w:t>
      </w:r>
    </w:p>
    <w:p w14:paraId="5E31A85C" w14:textId="2F539968" w:rsidR="00FC677A" w:rsidRPr="00FC677A" w:rsidRDefault="00E05F90" w:rsidP="00E05F90">
      <w:pPr>
        <w:rPr>
          <w:b/>
          <w:i/>
          <w:lang w:val="en-US"/>
        </w:rPr>
      </w:pPr>
      <w:r>
        <w:rPr>
          <w:lang w:val="en-US"/>
        </w:rPr>
        <w:t xml:space="preserve">The above proposal is inline with previous proposal from other companies, such as </w:t>
      </w:r>
      <w:r>
        <w:rPr>
          <w:lang w:val="en-US"/>
        </w:rPr>
        <w:fldChar w:fldCharType="begin"/>
      </w:r>
      <w:r>
        <w:rPr>
          <w:lang w:val="en-US"/>
        </w:rPr>
        <w:instrText xml:space="preserve"> REF _Ref492552071 \r \h </w:instrText>
      </w:r>
      <w:r>
        <w:rPr>
          <w:lang w:val="en-US"/>
        </w:rPr>
      </w:r>
      <w:r>
        <w:rPr>
          <w:lang w:val="en-US"/>
        </w:rPr>
        <w:fldChar w:fldCharType="separate"/>
      </w:r>
      <w:r>
        <w:rPr>
          <w:lang w:val="en-US"/>
        </w:rPr>
        <w:t>[3]</w:t>
      </w:r>
      <w:r>
        <w:rPr>
          <w:lang w:val="en-US"/>
        </w:rPr>
        <w:fldChar w:fldCharType="end"/>
      </w:r>
      <w:r>
        <w:rPr>
          <w:lang w:val="en-US"/>
        </w:rPr>
        <w:t>.</w:t>
      </w:r>
      <w:r w:rsidR="00FC677A" w:rsidRPr="00FC677A">
        <w:rPr>
          <w:b/>
          <w:i/>
          <w:lang w:val="en-US"/>
        </w:rPr>
        <w:t xml:space="preserve">  </w:t>
      </w:r>
    </w:p>
    <w:p w14:paraId="4298A15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62FECF16" w14:textId="4A8428E4" w:rsidR="000976E3" w:rsidRPr="00E05F90" w:rsidRDefault="000976E3" w:rsidP="0009119F">
      <w:pPr>
        <w:pStyle w:val="Reference"/>
        <w:rPr>
          <w:sz w:val="22"/>
          <w:szCs w:val="22"/>
          <w:lang w:val="en-US"/>
        </w:rPr>
      </w:pPr>
      <w:bookmarkStart w:id="2" w:name="_Ref492551837"/>
      <w:bookmarkStart w:id="3" w:name="_Ref476840310"/>
      <w:bookmarkStart w:id="4" w:name="_Ref481740434"/>
      <w:r>
        <w:rPr>
          <w:sz w:val="22"/>
          <w:szCs w:val="22"/>
        </w:rPr>
        <w:t xml:space="preserve">R4-1708123, </w:t>
      </w:r>
      <w:r w:rsidRPr="000976E3">
        <w:rPr>
          <w:sz w:val="22"/>
          <w:szCs w:val="22"/>
        </w:rPr>
        <w:t>On absolute level ACLR for mm-wave bands</w:t>
      </w:r>
      <w:r>
        <w:rPr>
          <w:sz w:val="22"/>
          <w:szCs w:val="22"/>
        </w:rPr>
        <w:t>, E</w:t>
      </w:r>
      <w:r w:rsidRPr="000976E3">
        <w:rPr>
          <w:sz w:val="22"/>
          <w:szCs w:val="22"/>
        </w:rPr>
        <w:t>ricsson</w:t>
      </w:r>
      <w:bookmarkEnd w:id="2"/>
    </w:p>
    <w:p w14:paraId="4B217F8E" w14:textId="3E1E8EC6" w:rsidR="000976E3" w:rsidRPr="00E05F90" w:rsidRDefault="00E05F90" w:rsidP="00E05F90">
      <w:pPr>
        <w:pStyle w:val="Reference"/>
        <w:rPr>
          <w:lang w:val="en-US"/>
        </w:rPr>
      </w:pPr>
      <w:r w:rsidRPr="00E05F90">
        <w:rPr>
          <w:sz w:val="22"/>
          <w:szCs w:val="22"/>
        </w:rPr>
        <w:t>3GPP TR 38.803 V2.0.0 (2017-03)</w:t>
      </w:r>
      <w:r w:rsidR="000976E3" w:rsidRPr="00E05F90">
        <w:t xml:space="preserve">, </w:t>
      </w:r>
      <w:r w:rsidRPr="00E05F90">
        <w:t>Study on New Radio Access Technology; RF and co-existence aspects (Release 14)</w:t>
      </w:r>
    </w:p>
    <w:p w14:paraId="0AE1B7DE" w14:textId="0BC875F0" w:rsidR="00E05F90" w:rsidRPr="00E05F90" w:rsidRDefault="00E05F90" w:rsidP="005E1C68">
      <w:pPr>
        <w:pStyle w:val="Reference"/>
        <w:rPr>
          <w:sz w:val="22"/>
          <w:szCs w:val="22"/>
          <w:lang w:val="en-US"/>
        </w:rPr>
      </w:pPr>
      <w:bookmarkStart w:id="5" w:name="_Ref492552071"/>
      <w:r w:rsidRPr="00E05F90">
        <w:rPr>
          <w:sz w:val="22"/>
          <w:szCs w:val="22"/>
          <w:lang w:val="en-US"/>
        </w:rPr>
        <w:t>R4-1707961, Discussion on ACLR and ACS requirement for mmWave NR BS, ZTE Corporation</w:t>
      </w:r>
      <w:bookmarkEnd w:id="5"/>
    </w:p>
    <w:bookmarkEnd w:id="3"/>
    <w:bookmarkEnd w:id="4"/>
    <w:p w14:paraId="6DF1A4B7" w14:textId="77777777" w:rsidR="008B14C9" w:rsidRPr="004F2915" w:rsidRDefault="008B14C9" w:rsidP="004F2915">
      <w:pPr>
        <w:pStyle w:val="Reference"/>
        <w:numPr>
          <w:ilvl w:val="0"/>
          <w:numId w:val="0"/>
        </w:numPr>
        <w:ind w:left="567" w:hanging="567"/>
        <w:rPr>
          <w:sz w:val="22"/>
          <w:szCs w:val="22"/>
        </w:rPr>
      </w:pPr>
    </w:p>
    <w:sectPr w:rsidR="008B14C9" w:rsidRPr="004F291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4D7E3" w14:textId="77777777" w:rsidR="00B52101" w:rsidRDefault="00B52101">
      <w:r>
        <w:separator/>
      </w:r>
    </w:p>
  </w:endnote>
  <w:endnote w:type="continuationSeparator" w:id="0">
    <w:p w14:paraId="6164341B" w14:textId="77777777" w:rsidR="00B52101" w:rsidRDefault="00B5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F63D5" w14:textId="1C647E76" w:rsidR="005E1C68" w:rsidRDefault="005E1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2F9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2F9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E2FD7" w14:textId="77777777" w:rsidR="00B52101" w:rsidRDefault="00B52101">
      <w:r>
        <w:separator/>
      </w:r>
    </w:p>
  </w:footnote>
  <w:footnote w:type="continuationSeparator" w:id="0">
    <w:p w14:paraId="515F8A16" w14:textId="77777777" w:rsidR="00B52101" w:rsidRDefault="00B52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141C1" w14:textId="77777777" w:rsidR="005E1C68" w:rsidRDefault="005E1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102D85"/>
    <w:multiLevelType w:val="hybridMultilevel"/>
    <w:tmpl w:val="28349FCA"/>
    <w:lvl w:ilvl="0" w:tplc="45A4037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E72772"/>
    <w:multiLevelType w:val="hybridMultilevel"/>
    <w:tmpl w:val="DE108A12"/>
    <w:lvl w:ilvl="0" w:tplc="68EED498">
      <w:start w:val="1"/>
      <w:numFmt w:val="bullet"/>
      <w:lvlText w:val="•"/>
      <w:lvlJc w:val="left"/>
      <w:pPr>
        <w:tabs>
          <w:tab w:val="num" w:pos="720"/>
        </w:tabs>
        <w:ind w:left="720" w:hanging="360"/>
      </w:pPr>
      <w:rPr>
        <w:rFonts w:ascii="Arial" w:hAnsi="Arial" w:hint="default"/>
      </w:rPr>
    </w:lvl>
    <w:lvl w:ilvl="1" w:tplc="548AC0EC">
      <w:numFmt w:val="bullet"/>
      <w:lvlText w:val="–"/>
      <w:lvlJc w:val="left"/>
      <w:pPr>
        <w:tabs>
          <w:tab w:val="num" w:pos="1440"/>
        </w:tabs>
        <w:ind w:left="1440" w:hanging="360"/>
      </w:pPr>
      <w:rPr>
        <w:rFonts w:ascii="Arial" w:hAnsi="Arial" w:hint="default"/>
      </w:rPr>
    </w:lvl>
    <w:lvl w:ilvl="2" w:tplc="CBF04F0A" w:tentative="1">
      <w:start w:val="1"/>
      <w:numFmt w:val="bullet"/>
      <w:lvlText w:val="•"/>
      <w:lvlJc w:val="left"/>
      <w:pPr>
        <w:tabs>
          <w:tab w:val="num" w:pos="2160"/>
        </w:tabs>
        <w:ind w:left="2160" w:hanging="360"/>
      </w:pPr>
      <w:rPr>
        <w:rFonts w:ascii="Arial" w:hAnsi="Arial" w:hint="default"/>
      </w:rPr>
    </w:lvl>
    <w:lvl w:ilvl="3" w:tplc="9BC6A4C8" w:tentative="1">
      <w:start w:val="1"/>
      <w:numFmt w:val="bullet"/>
      <w:lvlText w:val="•"/>
      <w:lvlJc w:val="left"/>
      <w:pPr>
        <w:tabs>
          <w:tab w:val="num" w:pos="2880"/>
        </w:tabs>
        <w:ind w:left="2880" w:hanging="360"/>
      </w:pPr>
      <w:rPr>
        <w:rFonts w:ascii="Arial" w:hAnsi="Arial" w:hint="default"/>
      </w:rPr>
    </w:lvl>
    <w:lvl w:ilvl="4" w:tplc="028E4780" w:tentative="1">
      <w:start w:val="1"/>
      <w:numFmt w:val="bullet"/>
      <w:lvlText w:val="•"/>
      <w:lvlJc w:val="left"/>
      <w:pPr>
        <w:tabs>
          <w:tab w:val="num" w:pos="3600"/>
        </w:tabs>
        <w:ind w:left="3600" w:hanging="360"/>
      </w:pPr>
      <w:rPr>
        <w:rFonts w:ascii="Arial" w:hAnsi="Arial" w:hint="default"/>
      </w:rPr>
    </w:lvl>
    <w:lvl w:ilvl="5" w:tplc="4508BA8A" w:tentative="1">
      <w:start w:val="1"/>
      <w:numFmt w:val="bullet"/>
      <w:lvlText w:val="•"/>
      <w:lvlJc w:val="left"/>
      <w:pPr>
        <w:tabs>
          <w:tab w:val="num" w:pos="4320"/>
        </w:tabs>
        <w:ind w:left="4320" w:hanging="360"/>
      </w:pPr>
      <w:rPr>
        <w:rFonts w:ascii="Arial" w:hAnsi="Arial" w:hint="default"/>
      </w:rPr>
    </w:lvl>
    <w:lvl w:ilvl="6" w:tplc="C6DA3060" w:tentative="1">
      <w:start w:val="1"/>
      <w:numFmt w:val="bullet"/>
      <w:lvlText w:val="•"/>
      <w:lvlJc w:val="left"/>
      <w:pPr>
        <w:tabs>
          <w:tab w:val="num" w:pos="5040"/>
        </w:tabs>
        <w:ind w:left="5040" w:hanging="360"/>
      </w:pPr>
      <w:rPr>
        <w:rFonts w:ascii="Arial" w:hAnsi="Arial" w:hint="default"/>
      </w:rPr>
    </w:lvl>
    <w:lvl w:ilvl="7" w:tplc="518CCEDC" w:tentative="1">
      <w:start w:val="1"/>
      <w:numFmt w:val="bullet"/>
      <w:lvlText w:val="•"/>
      <w:lvlJc w:val="left"/>
      <w:pPr>
        <w:tabs>
          <w:tab w:val="num" w:pos="5760"/>
        </w:tabs>
        <w:ind w:left="5760" w:hanging="360"/>
      </w:pPr>
      <w:rPr>
        <w:rFonts w:ascii="Arial" w:hAnsi="Arial" w:hint="default"/>
      </w:rPr>
    </w:lvl>
    <w:lvl w:ilvl="8" w:tplc="89AE6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406A88"/>
    <w:multiLevelType w:val="hybridMultilevel"/>
    <w:tmpl w:val="8048E9AA"/>
    <w:lvl w:ilvl="0" w:tplc="5E88DE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1"/>
  </w:num>
  <w:num w:numId="3">
    <w:abstractNumId w:val="26"/>
  </w:num>
  <w:num w:numId="4">
    <w:abstractNumId w:val="27"/>
  </w:num>
  <w:num w:numId="5">
    <w:abstractNumId w:val="20"/>
  </w:num>
  <w:num w:numId="6">
    <w:abstractNumId w:val="29"/>
  </w:num>
  <w:num w:numId="7">
    <w:abstractNumId w:val="36"/>
  </w:num>
  <w:num w:numId="8">
    <w:abstractNumId w:val="21"/>
  </w:num>
  <w:num w:numId="9">
    <w:abstractNumId w:val="15"/>
  </w:num>
  <w:num w:numId="10">
    <w:abstractNumId w:val="13"/>
  </w:num>
  <w:num w:numId="11">
    <w:abstractNumId w:val="14"/>
  </w:num>
  <w:num w:numId="12">
    <w:abstractNumId w:val="22"/>
  </w:num>
  <w:num w:numId="13">
    <w:abstractNumId w:val="23"/>
  </w:num>
  <w:num w:numId="14">
    <w:abstractNumId w:val="12"/>
  </w:num>
  <w:num w:numId="15">
    <w:abstractNumId w:val="17"/>
  </w:num>
  <w:num w:numId="16">
    <w:abstractNumId w:val="38"/>
  </w:num>
  <w:num w:numId="17">
    <w:abstractNumId w:val="39"/>
  </w:num>
  <w:num w:numId="18">
    <w:abstractNumId w:val="44"/>
  </w:num>
  <w:num w:numId="19">
    <w:abstractNumId w:val="37"/>
  </w:num>
  <w:num w:numId="20">
    <w:abstractNumId w:val="24"/>
  </w:num>
  <w:num w:numId="21">
    <w:abstractNumId w:val="35"/>
  </w:num>
  <w:num w:numId="22">
    <w:abstractNumId w:val="28"/>
  </w:num>
  <w:num w:numId="23">
    <w:abstractNumId w:val="11"/>
  </w:num>
  <w:num w:numId="24">
    <w:abstractNumId w:val="45"/>
  </w:num>
  <w:num w:numId="25">
    <w:abstractNumId w:val="10"/>
  </w:num>
  <w:num w:numId="26">
    <w:abstractNumId w:val="30"/>
  </w:num>
  <w:num w:numId="27">
    <w:abstractNumId w:val="25"/>
  </w:num>
  <w:num w:numId="28">
    <w:abstractNumId w:val="7"/>
  </w:num>
  <w:num w:numId="29">
    <w:abstractNumId w:val="18"/>
  </w:num>
  <w:num w:numId="30">
    <w:abstractNumId w:val="2"/>
  </w:num>
  <w:num w:numId="31">
    <w:abstractNumId w:val="1"/>
  </w:num>
  <w:num w:numId="32">
    <w:abstractNumId w:val="0"/>
  </w:num>
  <w:num w:numId="33">
    <w:abstractNumId w:val="5"/>
  </w:num>
  <w:num w:numId="34">
    <w:abstractNumId w:val="41"/>
  </w:num>
  <w:num w:numId="35">
    <w:abstractNumId w:val="31"/>
  </w:num>
  <w:num w:numId="36">
    <w:abstractNumId w:val="46"/>
  </w:num>
  <w:num w:numId="37">
    <w:abstractNumId w:val="16"/>
  </w:num>
  <w:num w:numId="38">
    <w:abstractNumId w:val="40"/>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4"/>
  </w:num>
  <w:num w:numId="41">
    <w:abstractNumId w:val="42"/>
  </w:num>
  <w:num w:numId="42">
    <w:abstractNumId w:val="8"/>
  </w:num>
  <w:num w:numId="43">
    <w:abstractNumId w:val="9"/>
  </w:num>
  <w:num w:numId="44">
    <w:abstractNumId w:val="19"/>
  </w:num>
  <w:num w:numId="45">
    <w:abstractNumId w:val="43"/>
  </w:num>
  <w:num w:numId="46">
    <w:abstractNumId w:val="33"/>
  </w:num>
  <w:num w:numId="47">
    <w:abstractNumId w:val="6"/>
  </w:num>
  <w:num w:numId="4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274"/>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260B5"/>
    <w:rsid w:val="000325B8"/>
    <w:rsid w:val="00034C15"/>
    <w:rsid w:val="00036BA1"/>
    <w:rsid w:val="000371DC"/>
    <w:rsid w:val="000422E2"/>
    <w:rsid w:val="00042EF7"/>
    <w:rsid w:val="00042F22"/>
    <w:rsid w:val="000444EF"/>
    <w:rsid w:val="00047139"/>
    <w:rsid w:val="00052A07"/>
    <w:rsid w:val="000534E3"/>
    <w:rsid w:val="0005606A"/>
    <w:rsid w:val="00056FB2"/>
    <w:rsid w:val="00057117"/>
    <w:rsid w:val="0005798F"/>
    <w:rsid w:val="000616E7"/>
    <w:rsid w:val="00064164"/>
    <w:rsid w:val="0006487E"/>
    <w:rsid w:val="00065D5B"/>
    <w:rsid w:val="00065E1A"/>
    <w:rsid w:val="00067508"/>
    <w:rsid w:val="00077E5F"/>
    <w:rsid w:val="0008036A"/>
    <w:rsid w:val="00081AE6"/>
    <w:rsid w:val="000821E7"/>
    <w:rsid w:val="000855EB"/>
    <w:rsid w:val="00085B52"/>
    <w:rsid w:val="000866F2"/>
    <w:rsid w:val="0009009F"/>
    <w:rsid w:val="00090658"/>
    <w:rsid w:val="0009119F"/>
    <w:rsid w:val="00091557"/>
    <w:rsid w:val="000924C1"/>
    <w:rsid w:val="000924F0"/>
    <w:rsid w:val="00093474"/>
    <w:rsid w:val="0009414C"/>
    <w:rsid w:val="0009510F"/>
    <w:rsid w:val="000963BD"/>
    <w:rsid w:val="000976E3"/>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32647"/>
    <w:rsid w:val="00132FD0"/>
    <w:rsid w:val="001344C0"/>
    <w:rsid w:val="001346FA"/>
    <w:rsid w:val="00135252"/>
    <w:rsid w:val="001363CA"/>
    <w:rsid w:val="00137AB5"/>
    <w:rsid w:val="00137F0B"/>
    <w:rsid w:val="0014013F"/>
    <w:rsid w:val="00141AFE"/>
    <w:rsid w:val="001456AA"/>
    <w:rsid w:val="00150E0C"/>
    <w:rsid w:val="00151E23"/>
    <w:rsid w:val="001526E0"/>
    <w:rsid w:val="00154137"/>
    <w:rsid w:val="001545EF"/>
    <w:rsid w:val="001551B5"/>
    <w:rsid w:val="00160DB7"/>
    <w:rsid w:val="001659C1"/>
    <w:rsid w:val="00166705"/>
    <w:rsid w:val="00173A8E"/>
    <w:rsid w:val="00173EA5"/>
    <w:rsid w:val="00173FDC"/>
    <w:rsid w:val="0017501A"/>
    <w:rsid w:val="001768B3"/>
    <w:rsid w:val="0018143F"/>
    <w:rsid w:val="00184B98"/>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092"/>
    <w:rsid w:val="00213C9A"/>
    <w:rsid w:val="00214DA8"/>
    <w:rsid w:val="00215423"/>
    <w:rsid w:val="002158FA"/>
    <w:rsid w:val="00220600"/>
    <w:rsid w:val="002224DB"/>
    <w:rsid w:val="002239B1"/>
    <w:rsid w:val="00223FCB"/>
    <w:rsid w:val="002252C3"/>
    <w:rsid w:val="00225C54"/>
    <w:rsid w:val="00226B5B"/>
    <w:rsid w:val="00230765"/>
    <w:rsid w:val="002319E4"/>
    <w:rsid w:val="00235064"/>
    <w:rsid w:val="00235632"/>
    <w:rsid w:val="00235872"/>
    <w:rsid w:val="00236580"/>
    <w:rsid w:val="00236EF8"/>
    <w:rsid w:val="00241559"/>
    <w:rsid w:val="002435B3"/>
    <w:rsid w:val="002458EB"/>
    <w:rsid w:val="002500C8"/>
    <w:rsid w:val="00251CFB"/>
    <w:rsid w:val="00253E53"/>
    <w:rsid w:val="00257543"/>
    <w:rsid w:val="002617E7"/>
    <w:rsid w:val="00264228"/>
    <w:rsid w:val="00264334"/>
    <w:rsid w:val="0026473E"/>
    <w:rsid w:val="00264CD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05D7"/>
    <w:rsid w:val="002C3DFC"/>
    <w:rsid w:val="002C41E6"/>
    <w:rsid w:val="002D071A"/>
    <w:rsid w:val="002D34B2"/>
    <w:rsid w:val="002D7637"/>
    <w:rsid w:val="002E17F2"/>
    <w:rsid w:val="002E248E"/>
    <w:rsid w:val="002E7CAE"/>
    <w:rsid w:val="002F2771"/>
    <w:rsid w:val="002F37A9"/>
    <w:rsid w:val="002F5073"/>
    <w:rsid w:val="002F62E6"/>
    <w:rsid w:val="002F77F5"/>
    <w:rsid w:val="00301352"/>
    <w:rsid w:val="00301CE6"/>
    <w:rsid w:val="0030256B"/>
    <w:rsid w:val="003038E8"/>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578"/>
    <w:rsid w:val="00334579"/>
    <w:rsid w:val="00335858"/>
    <w:rsid w:val="00336BDA"/>
    <w:rsid w:val="00342BD7"/>
    <w:rsid w:val="0034622A"/>
    <w:rsid w:val="00346DB5"/>
    <w:rsid w:val="003477B1"/>
    <w:rsid w:val="00347BE6"/>
    <w:rsid w:val="003571A4"/>
    <w:rsid w:val="00357380"/>
    <w:rsid w:val="00357F02"/>
    <w:rsid w:val="003602D9"/>
    <w:rsid w:val="003604CE"/>
    <w:rsid w:val="00360580"/>
    <w:rsid w:val="0037009A"/>
    <w:rsid w:val="00370CD0"/>
    <w:rsid w:val="00370E47"/>
    <w:rsid w:val="00371A61"/>
    <w:rsid w:val="003742AC"/>
    <w:rsid w:val="00374A8E"/>
    <w:rsid w:val="00377CE1"/>
    <w:rsid w:val="00385BF0"/>
    <w:rsid w:val="00391E1A"/>
    <w:rsid w:val="003939FF"/>
    <w:rsid w:val="003A2223"/>
    <w:rsid w:val="003A2A0F"/>
    <w:rsid w:val="003A341F"/>
    <w:rsid w:val="003A45A1"/>
    <w:rsid w:val="003A5B0A"/>
    <w:rsid w:val="003A6BAC"/>
    <w:rsid w:val="003A7EF3"/>
    <w:rsid w:val="003B159C"/>
    <w:rsid w:val="003B369F"/>
    <w:rsid w:val="003B36A3"/>
    <w:rsid w:val="003B692C"/>
    <w:rsid w:val="003B7FE5"/>
    <w:rsid w:val="003C11C8"/>
    <w:rsid w:val="003C1DC1"/>
    <w:rsid w:val="003C2702"/>
    <w:rsid w:val="003C2DAB"/>
    <w:rsid w:val="003C7806"/>
    <w:rsid w:val="003D109F"/>
    <w:rsid w:val="003D2478"/>
    <w:rsid w:val="003D5B1F"/>
    <w:rsid w:val="003E15FA"/>
    <w:rsid w:val="003E46A9"/>
    <w:rsid w:val="003E55E4"/>
    <w:rsid w:val="003E74E3"/>
    <w:rsid w:val="003F05C7"/>
    <w:rsid w:val="003F0A21"/>
    <w:rsid w:val="003F2CD4"/>
    <w:rsid w:val="003F6BBE"/>
    <w:rsid w:val="004000E8"/>
    <w:rsid w:val="00401554"/>
    <w:rsid w:val="00402D7E"/>
    <w:rsid w:val="00402E2B"/>
    <w:rsid w:val="0040512B"/>
    <w:rsid w:val="00405CA5"/>
    <w:rsid w:val="00407CD3"/>
    <w:rsid w:val="00410134"/>
    <w:rsid w:val="00410A7F"/>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59B"/>
    <w:rsid w:val="00452CAC"/>
    <w:rsid w:val="0045372C"/>
    <w:rsid w:val="00457565"/>
    <w:rsid w:val="00457B71"/>
    <w:rsid w:val="004629F7"/>
    <w:rsid w:val="00464ED7"/>
    <w:rsid w:val="004669E2"/>
    <w:rsid w:val="0046781D"/>
    <w:rsid w:val="00470C31"/>
    <w:rsid w:val="004734D0"/>
    <w:rsid w:val="0047515B"/>
    <w:rsid w:val="0047556B"/>
    <w:rsid w:val="00477768"/>
    <w:rsid w:val="00477E6E"/>
    <w:rsid w:val="00481903"/>
    <w:rsid w:val="00485717"/>
    <w:rsid w:val="004874C1"/>
    <w:rsid w:val="00492BC5"/>
    <w:rsid w:val="00493F07"/>
    <w:rsid w:val="004964F1"/>
    <w:rsid w:val="004A16BC"/>
    <w:rsid w:val="004A17D7"/>
    <w:rsid w:val="004A2B94"/>
    <w:rsid w:val="004B450E"/>
    <w:rsid w:val="004B470C"/>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2915"/>
    <w:rsid w:val="004F4DA3"/>
    <w:rsid w:val="004F7993"/>
    <w:rsid w:val="0050044D"/>
    <w:rsid w:val="00500AD7"/>
    <w:rsid w:val="00503AFB"/>
    <w:rsid w:val="00506557"/>
    <w:rsid w:val="0050677A"/>
    <w:rsid w:val="005108D8"/>
    <w:rsid w:val="005116F9"/>
    <w:rsid w:val="00512E85"/>
    <w:rsid w:val="005153A7"/>
    <w:rsid w:val="00517BC0"/>
    <w:rsid w:val="005201D0"/>
    <w:rsid w:val="005219CF"/>
    <w:rsid w:val="005270CC"/>
    <w:rsid w:val="00532DAE"/>
    <w:rsid w:val="005342C8"/>
    <w:rsid w:val="00534B59"/>
    <w:rsid w:val="00536759"/>
    <w:rsid w:val="00537C62"/>
    <w:rsid w:val="00546970"/>
    <w:rsid w:val="00550C36"/>
    <w:rsid w:val="00551EA1"/>
    <w:rsid w:val="005536C2"/>
    <w:rsid w:val="005540B9"/>
    <w:rsid w:val="00554E19"/>
    <w:rsid w:val="0056121F"/>
    <w:rsid w:val="00563689"/>
    <w:rsid w:val="00563D22"/>
    <w:rsid w:val="00572505"/>
    <w:rsid w:val="00582012"/>
    <w:rsid w:val="00582809"/>
    <w:rsid w:val="005835DE"/>
    <w:rsid w:val="00586232"/>
    <w:rsid w:val="00586377"/>
    <w:rsid w:val="00586960"/>
    <w:rsid w:val="00586BCD"/>
    <w:rsid w:val="0058798C"/>
    <w:rsid w:val="005900FA"/>
    <w:rsid w:val="005910C7"/>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1C68"/>
    <w:rsid w:val="005E385F"/>
    <w:rsid w:val="005E47D9"/>
    <w:rsid w:val="005E5B81"/>
    <w:rsid w:val="005E6835"/>
    <w:rsid w:val="005F1AD4"/>
    <w:rsid w:val="005F2CB1"/>
    <w:rsid w:val="005F3057"/>
    <w:rsid w:val="005F5620"/>
    <w:rsid w:val="005F5DB4"/>
    <w:rsid w:val="005F618C"/>
    <w:rsid w:val="005F70BD"/>
    <w:rsid w:val="0060283C"/>
    <w:rsid w:val="00604F14"/>
    <w:rsid w:val="00605C76"/>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3D4D"/>
    <w:rsid w:val="00655733"/>
    <w:rsid w:val="00655ACD"/>
    <w:rsid w:val="00655F94"/>
    <w:rsid w:val="00656A92"/>
    <w:rsid w:val="00656DDE"/>
    <w:rsid w:val="0066011D"/>
    <w:rsid w:val="006607C0"/>
    <w:rsid w:val="006613A6"/>
    <w:rsid w:val="00661F2A"/>
    <w:rsid w:val="006627A2"/>
    <w:rsid w:val="006634E6"/>
    <w:rsid w:val="006655EE"/>
    <w:rsid w:val="00667EE7"/>
    <w:rsid w:val="00670922"/>
    <w:rsid w:val="00670BE1"/>
    <w:rsid w:val="00670E6F"/>
    <w:rsid w:val="0067218F"/>
    <w:rsid w:val="006741F2"/>
    <w:rsid w:val="00674CC3"/>
    <w:rsid w:val="00675C72"/>
    <w:rsid w:val="00677155"/>
    <w:rsid w:val="006771F9"/>
    <w:rsid w:val="006776D7"/>
    <w:rsid w:val="00677CB9"/>
    <w:rsid w:val="00681003"/>
    <w:rsid w:val="006817C9"/>
    <w:rsid w:val="00683ECE"/>
    <w:rsid w:val="006935C1"/>
    <w:rsid w:val="00695FC2"/>
    <w:rsid w:val="00696949"/>
    <w:rsid w:val="00697052"/>
    <w:rsid w:val="006A46FB"/>
    <w:rsid w:val="006A554D"/>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48D3"/>
    <w:rsid w:val="00715B9A"/>
    <w:rsid w:val="00720E9E"/>
    <w:rsid w:val="0072600F"/>
    <w:rsid w:val="00726EA6"/>
    <w:rsid w:val="00727208"/>
    <w:rsid w:val="007272F1"/>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0DD4"/>
    <w:rsid w:val="007925EA"/>
    <w:rsid w:val="00793CD8"/>
    <w:rsid w:val="00795C92"/>
    <w:rsid w:val="00796231"/>
    <w:rsid w:val="007973DE"/>
    <w:rsid w:val="007A0301"/>
    <w:rsid w:val="007A1CB3"/>
    <w:rsid w:val="007A306F"/>
    <w:rsid w:val="007A43A6"/>
    <w:rsid w:val="007A58A6"/>
    <w:rsid w:val="007B3985"/>
    <w:rsid w:val="007B3D2D"/>
    <w:rsid w:val="007B50AE"/>
    <w:rsid w:val="007B51DF"/>
    <w:rsid w:val="007C05DD"/>
    <w:rsid w:val="007C3D18"/>
    <w:rsid w:val="007C46B5"/>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88F"/>
    <w:rsid w:val="00801C02"/>
    <w:rsid w:val="00803FAE"/>
    <w:rsid w:val="00805DC4"/>
    <w:rsid w:val="0080605F"/>
    <w:rsid w:val="00807786"/>
    <w:rsid w:val="00811FCB"/>
    <w:rsid w:val="008158D6"/>
    <w:rsid w:val="0081669C"/>
    <w:rsid w:val="00817196"/>
    <w:rsid w:val="008173B2"/>
    <w:rsid w:val="00817D39"/>
    <w:rsid w:val="008225CB"/>
    <w:rsid w:val="00822B3A"/>
    <w:rsid w:val="00823111"/>
    <w:rsid w:val="008235DB"/>
    <w:rsid w:val="00823B01"/>
    <w:rsid w:val="00824AB4"/>
    <w:rsid w:val="00825A9C"/>
    <w:rsid w:val="00825C42"/>
    <w:rsid w:val="00825D25"/>
    <w:rsid w:val="00827D6F"/>
    <w:rsid w:val="00833714"/>
    <w:rsid w:val="00835328"/>
    <w:rsid w:val="008376AC"/>
    <w:rsid w:val="0084172E"/>
    <w:rsid w:val="00843B56"/>
    <w:rsid w:val="008444E8"/>
    <w:rsid w:val="00844E80"/>
    <w:rsid w:val="00846855"/>
    <w:rsid w:val="00846FE7"/>
    <w:rsid w:val="008525F8"/>
    <w:rsid w:val="00854669"/>
    <w:rsid w:val="00856911"/>
    <w:rsid w:val="00865524"/>
    <w:rsid w:val="008677FD"/>
    <w:rsid w:val="008706D4"/>
    <w:rsid w:val="00870F8A"/>
    <w:rsid w:val="008719A4"/>
    <w:rsid w:val="00871D23"/>
    <w:rsid w:val="00874312"/>
    <w:rsid w:val="0087437C"/>
    <w:rsid w:val="00874931"/>
    <w:rsid w:val="008755C4"/>
    <w:rsid w:val="00875CD7"/>
    <w:rsid w:val="00876B4D"/>
    <w:rsid w:val="00877F18"/>
    <w:rsid w:val="00880B93"/>
    <w:rsid w:val="00881F2F"/>
    <w:rsid w:val="00882F42"/>
    <w:rsid w:val="00890C95"/>
    <w:rsid w:val="00894A88"/>
    <w:rsid w:val="00895386"/>
    <w:rsid w:val="00897195"/>
    <w:rsid w:val="00897C7A"/>
    <w:rsid w:val="008A21FF"/>
    <w:rsid w:val="008A2CE2"/>
    <w:rsid w:val="008A30AC"/>
    <w:rsid w:val="008A44B8"/>
    <w:rsid w:val="008A51A8"/>
    <w:rsid w:val="008A54C7"/>
    <w:rsid w:val="008A7704"/>
    <w:rsid w:val="008A77D8"/>
    <w:rsid w:val="008A7EDC"/>
    <w:rsid w:val="008B0483"/>
    <w:rsid w:val="008B120C"/>
    <w:rsid w:val="008B14C9"/>
    <w:rsid w:val="008B51A0"/>
    <w:rsid w:val="008B592A"/>
    <w:rsid w:val="008B6143"/>
    <w:rsid w:val="008B7B5C"/>
    <w:rsid w:val="008C012E"/>
    <w:rsid w:val="008C0C99"/>
    <w:rsid w:val="008C1D78"/>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5F94"/>
    <w:rsid w:val="008F6358"/>
    <w:rsid w:val="008F78EF"/>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20CA"/>
    <w:rsid w:val="009368F3"/>
    <w:rsid w:val="00940213"/>
    <w:rsid w:val="00941636"/>
    <w:rsid w:val="00943742"/>
    <w:rsid w:val="00943FC3"/>
    <w:rsid w:val="00944D43"/>
    <w:rsid w:val="00945C05"/>
    <w:rsid w:val="00946945"/>
    <w:rsid w:val="009475BF"/>
    <w:rsid w:val="00947713"/>
    <w:rsid w:val="00950DE7"/>
    <w:rsid w:val="00953920"/>
    <w:rsid w:val="00953D47"/>
    <w:rsid w:val="0095681E"/>
    <w:rsid w:val="009572D4"/>
    <w:rsid w:val="00960F7D"/>
    <w:rsid w:val="00961921"/>
    <w:rsid w:val="0096430A"/>
    <w:rsid w:val="0096477F"/>
    <w:rsid w:val="0096554B"/>
    <w:rsid w:val="0096584A"/>
    <w:rsid w:val="0097190F"/>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768"/>
    <w:rsid w:val="009B1F30"/>
    <w:rsid w:val="009B227E"/>
    <w:rsid w:val="009B3AC2"/>
    <w:rsid w:val="009B4DF4"/>
    <w:rsid w:val="009B564E"/>
    <w:rsid w:val="009B569B"/>
    <w:rsid w:val="009B7E87"/>
    <w:rsid w:val="009C0D4F"/>
    <w:rsid w:val="009C403E"/>
    <w:rsid w:val="009C69E7"/>
    <w:rsid w:val="009D09F9"/>
    <w:rsid w:val="009D2ACB"/>
    <w:rsid w:val="009D4FF0"/>
    <w:rsid w:val="009D6BB6"/>
    <w:rsid w:val="009D703C"/>
    <w:rsid w:val="009D718F"/>
    <w:rsid w:val="009E068F"/>
    <w:rsid w:val="009E14E0"/>
    <w:rsid w:val="009E35DB"/>
    <w:rsid w:val="009E42A1"/>
    <w:rsid w:val="009E47A3"/>
    <w:rsid w:val="009F08F3"/>
    <w:rsid w:val="009F344F"/>
    <w:rsid w:val="009F7792"/>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3C0"/>
    <w:rsid w:val="00A3448A"/>
    <w:rsid w:val="00A36297"/>
    <w:rsid w:val="00A41E2B"/>
    <w:rsid w:val="00A45B74"/>
    <w:rsid w:val="00A478B2"/>
    <w:rsid w:val="00A504D2"/>
    <w:rsid w:val="00A52E1D"/>
    <w:rsid w:val="00A5490F"/>
    <w:rsid w:val="00A558EB"/>
    <w:rsid w:val="00A61499"/>
    <w:rsid w:val="00A62A77"/>
    <w:rsid w:val="00A63483"/>
    <w:rsid w:val="00A657D7"/>
    <w:rsid w:val="00A660AC"/>
    <w:rsid w:val="00A67E6C"/>
    <w:rsid w:val="00A70796"/>
    <w:rsid w:val="00A71B99"/>
    <w:rsid w:val="00A725C0"/>
    <w:rsid w:val="00A739D0"/>
    <w:rsid w:val="00A761D4"/>
    <w:rsid w:val="00A766FA"/>
    <w:rsid w:val="00A77EC4"/>
    <w:rsid w:val="00A86418"/>
    <w:rsid w:val="00A86868"/>
    <w:rsid w:val="00A92879"/>
    <w:rsid w:val="00A934AB"/>
    <w:rsid w:val="00A9442A"/>
    <w:rsid w:val="00A94494"/>
    <w:rsid w:val="00AA016F"/>
    <w:rsid w:val="00AA1ED6"/>
    <w:rsid w:val="00AA51D6"/>
    <w:rsid w:val="00AA6A04"/>
    <w:rsid w:val="00AB061C"/>
    <w:rsid w:val="00AB0BC8"/>
    <w:rsid w:val="00AB0FCC"/>
    <w:rsid w:val="00AB11CA"/>
    <w:rsid w:val="00AB14D9"/>
    <w:rsid w:val="00AB4AB8"/>
    <w:rsid w:val="00AB655E"/>
    <w:rsid w:val="00AC007F"/>
    <w:rsid w:val="00AC2DD9"/>
    <w:rsid w:val="00AC2ECD"/>
    <w:rsid w:val="00AC3119"/>
    <w:rsid w:val="00AC49FB"/>
    <w:rsid w:val="00AC5A10"/>
    <w:rsid w:val="00AC640C"/>
    <w:rsid w:val="00AD0AA3"/>
    <w:rsid w:val="00AD2642"/>
    <w:rsid w:val="00AD3F94"/>
    <w:rsid w:val="00AD4A5A"/>
    <w:rsid w:val="00AE0234"/>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763F"/>
    <w:rsid w:val="00B27AAC"/>
    <w:rsid w:val="00B30929"/>
    <w:rsid w:val="00B31D99"/>
    <w:rsid w:val="00B372AA"/>
    <w:rsid w:val="00B40445"/>
    <w:rsid w:val="00B41888"/>
    <w:rsid w:val="00B45A52"/>
    <w:rsid w:val="00B46175"/>
    <w:rsid w:val="00B46E62"/>
    <w:rsid w:val="00B52101"/>
    <w:rsid w:val="00B5330B"/>
    <w:rsid w:val="00B608FC"/>
    <w:rsid w:val="00B63F83"/>
    <w:rsid w:val="00B664C7"/>
    <w:rsid w:val="00B709C1"/>
    <w:rsid w:val="00B739F6"/>
    <w:rsid w:val="00B81A6C"/>
    <w:rsid w:val="00B83D6A"/>
    <w:rsid w:val="00B85DE5"/>
    <w:rsid w:val="00B87311"/>
    <w:rsid w:val="00B90F73"/>
    <w:rsid w:val="00B9186D"/>
    <w:rsid w:val="00B91A51"/>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C6F15"/>
    <w:rsid w:val="00BD0078"/>
    <w:rsid w:val="00BD3E71"/>
    <w:rsid w:val="00BD48AC"/>
    <w:rsid w:val="00BD4964"/>
    <w:rsid w:val="00BD5F1A"/>
    <w:rsid w:val="00BD6434"/>
    <w:rsid w:val="00BD7D33"/>
    <w:rsid w:val="00BE1234"/>
    <w:rsid w:val="00BE1C5A"/>
    <w:rsid w:val="00BE2FA6"/>
    <w:rsid w:val="00BE333F"/>
    <w:rsid w:val="00BE73C3"/>
    <w:rsid w:val="00BE7406"/>
    <w:rsid w:val="00BE7603"/>
    <w:rsid w:val="00BF213B"/>
    <w:rsid w:val="00BF3279"/>
    <w:rsid w:val="00BF3EFE"/>
    <w:rsid w:val="00BF74C7"/>
    <w:rsid w:val="00C010AF"/>
    <w:rsid w:val="00C01575"/>
    <w:rsid w:val="00C015F1"/>
    <w:rsid w:val="00C01F33"/>
    <w:rsid w:val="00C02CC6"/>
    <w:rsid w:val="00C040F7"/>
    <w:rsid w:val="00C044AB"/>
    <w:rsid w:val="00C05706"/>
    <w:rsid w:val="00C07377"/>
    <w:rsid w:val="00C07665"/>
    <w:rsid w:val="00C10478"/>
    <w:rsid w:val="00C10951"/>
    <w:rsid w:val="00C12107"/>
    <w:rsid w:val="00C14D4B"/>
    <w:rsid w:val="00C154BB"/>
    <w:rsid w:val="00C26DBD"/>
    <w:rsid w:val="00C27860"/>
    <w:rsid w:val="00C279B5"/>
    <w:rsid w:val="00C27C45"/>
    <w:rsid w:val="00C354D9"/>
    <w:rsid w:val="00C3719D"/>
    <w:rsid w:val="00C42675"/>
    <w:rsid w:val="00C451C1"/>
    <w:rsid w:val="00C5081D"/>
    <w:rsid w:val="00C50B97"/>
    <w:rsid w:val="00C52AB0"/>
    <w:rsid w:val="00C5308F"/>
    <w:rsid w:val="00C54995"/>
    <w:rsid w:val="00C54D41"/>
    <w:rsid w:val="00C60783"/>
    <w:rsid w:val="00C64672"/>
    <w:rsid w:val="00C65D02"/>
    <w:rsid w:val="00C70697"/>
    <w:rsid w:val="00C72EF4"/>
    <w:rsid w:val="00C734EC"/>
    <w:rsid w:val="00C75D2F"/>
    <w:rsid w:val="00C767BE"/>
    <w:rsid w:val="00C76E3C"/>
    <w:rsid w:val="00C77BFD"/>
    <w:rsid w:val="00C81568"/>
    <w:rsid w:val="00C82C19"/>
    <w:rsid w:val="00C8423B"/>
    <w:rsid w:val="00C9027A"/>
    <w:rsid w:val="00C9068E"/>
    <w:rsid w:val="00C90785"/>
    <w:rsid w:val="00C93C4B"/>
    <w:rsid w:val="00C944AB"/>
    <w:rsid w:val="00C95B40"/>
    <w:rsid w:val="00C97623"/>
    <w:rsid w:val="00CA0230"/>
    <w:rsid w:val="00CA1ED8"/>
    <w:rsid w:val="00CA3F6F"/>
    <w:rsid w:val="00CA444B"/>
    <w:rsid w:val="00CA4E21"/>
    <w:rsid w:val="00CB1F63"/>
    <w:rsid w:val="00CB7170"/>
    <w:rsid w:val="00CC040E"/>
    <w:rsid w:val="00CC111F"/>
    <w:rsid w:val="00CC1A6B"/>
    <w:rsid w:val="00CC2011"/>
    <w:rsid w:val="00CC3EA0"/>
    <w:rsid w:val="00CC3F1F"/>
    <w:rsid w:val="00CC7B45"/>
    <w:rsid w:val="00CD1188"/>
    <w:rsid w:val="00CD2ED1"/>
    <w:rsid w:val="00CD337B"/>
    <w:rsid w:val="00CD5696"/>
    <w:rsid w:val="00CE0284"/>
    <w:rsid w:val="00CE133C"/>
    <w:rsid w:val="00CE41AD"/>
    <w:rsid w:val="00CE7561"/>
    <w:rsid w:val="00CF1354"/>
    <w:rsid w:val="00CF3B1F"/>
    <w:rsid w:val="00CF3BF6"/>
    <w:rsid w:val="00CF57DA"/>
    <w:rsid w:val="00CF625B"/>
    <w:rsid w:val="00CF687E"/>
    <w:rsid w:val="00D0155E"/>
    <w:rsid w:val="00D0349B"/>
    <w:rsid w:val="00D04BC4"/>
    <w:rsid w:val="00D10249"/>
    <w:rsid w:val="00D106B4"/>
    <w:rsid w:val="00D115C3"/>
    <w:rsid w:val="00D11897"/>
    <w:rsid w:val="00D13135"/>
    <w:rsid w:val="00D13571"/>
    <w:rsid w:val="00D13E4E"/>
    <w:rsid w:val="00D20050"/>
    <w:rsid w:val="00D239A7"/>
    <w:rsid w:val="00D23F47"/>
    <w:rsid w:val="00D36E71"/>
    <w:rsid w:val="00D3793B"/>
    <w:rsid w:val="00D37D87"/>
    <w:rsid w:val="00D40B33"/>
    <w:rsid w:val="00D42A7F"/>
    <w:rsid w:val="00D4318F"/>
    <w:rsid w:val="00D438BF"/>
    <w:rsid w:val="00D440F8"/>
    <w:rsid w:val="00D47CC0"/>
    <w:rsid w:val="00D546FF"/>
    <w:rsid w:val="00D55180"/>
    <w:rsid w:val="00D55AD5"/>
    <w:rsid w:val="00D576CA"/>
    <w:rsid w:val="00D61AF5"/>
    <w:rsid w:val="00D652B5"/>
    <w:rsid w:val="00D66155"/>
    <w:rsid w:val="00D708B0"/>
    <w:rsid w:val="00D70FCF"/>
    <w:rsid w:val="00D763F7"/>
    <w:rsid w:val="00D77B1D"/>
    <w:rsid w:val="00D8021F"/>
    <w:rsid w:val="00D80383"/>
    <w:rsid w:val="00D823C6"/>
    <w:rsid w:val="00D869E1"/>
    <w:rsid w:val="00D86CA3"/>
    <w:rsid w:val="00D871CE"/>
    <w:rsid w:val="00D9196D"/>
    <w:rsid w:val="00D92982"/>
    <w:rsid w:val="00D92EFF"/>
    <w:rsid w:val="00D95C04"/>
    <w:rsid w:val="00DA145E"/>
    <w:rsid w:val="00DA305E"/>
    <w:rsid w:val="00DA5417"/>
    <w:rsid w:val="00DA56E8"/>
    <w:rsid w:val="00DB0009"/>
    <w:rsid w:val="00DB27F0"/>
    <w:rsid w:val="00DB3730"/>
    <w:rsid w:val="00DB377D"/>
    <w:rsid w:val="00DB4741"/>
    <w:rsid w:val="00DC2D36"/>
    <w:rsid w:val="00DC2F9F"/>
    <w:rsid w:val="00DC4220"/>
    <w:rsid w:val="00DC49B8"/>
    <w:rsid w:val="00DC53EF"/>
    <w:rsid w:val="00DC6A6D"/>
    <w:rsid w:val="00DD0B6F"/>
    <w:rsid w:val="00DD4A18"/>
    <w:rsid w:val="00DD5DFE"/>
    <w:rsid w:val="00DE35AD"/>
    <w:rsid w:val="00DE5608"/>
    <w:rsid w:val="00DE58D0"/>
    <w:rsid w:val="00DE654F"/>
    <w:rsid w:val="00DE761A"/>
    <w:rsid w:val="00DF0B6E"/>
    <w:rsid w:val="00DF15E0"/>
    <w:rsid w:val="00DF189F"/>
    <w:rsid w:val="00DF36BF"/>
    <w:rsid w:val="00DF37A0"/>
    <w:rsid w:val="00E00F56"/>
    <w:rsid w:val="00E05F90"/>
    <w:rsid w:val="00E10F57"/>
    <w:rsid w:val="00E110E7"/>
    <w:rsid w:val="00E11B20"/>
    <w:rsid w:val="00E17FA2"/>
    <w:rsid w:val="00E22330"/>
    <w:rsid w:val="00E22AA3"/>
    <w:rsid w:val="00E26ACC"/>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B75"/>
    <w:rsid w:val="00E54E3B"/>
    <w:rsid w:val="00E57565"/>
    <w:rsid w:val="00E61B60"/>
    <w:rsid w:val="00E620F6"/>
    <w:rsid w:val="00E63838"/>
    <w:rsid w:val="00E63C3C"/>
    <w:rsid w:val="00E64434"/>
    <w:rsid w:val="00E64629"/>
    <w:rsid w:val="00E67C51"/>
    <w:rsid w:val="00E7287A"/>
    <w:rsid w:val="00E72EFC"/>
    <w:rsid w:val="00E734CA"/>
    <w:rsid w:val="00E73E05"/>
    <w:rsid w:val="00E758EC"/>
    <w:rsid w:val="00E8234C"/>
    <w:rsid w:val="00E83AA9"/>
    <w:rsid w:val="00E85928"/>
    <w:rsid w:val="00E8634B"/>
    <w:rsid w:val="00E86C89"/>
    <w:rsid w:val="00E87822"/>
    <w:rsid w:val="00E90395"/>
    <w:rsid w:val="00E90E49"/>
    <w:rsid w:val="00E917F9"/>
    <w:rsid w:val="00E91F98"/>
    <w:rsid w:val="00E9291C"/>
    <w:rsid w:val="00E93FFE"/>
    <w:rsid w:val="00E94F8A"/>
    <w:rsid w:val="00E967C7"/>
    <w:rsid w:val="00EA7157"/>
    <w:rsid w:val="00EA7A41"/>
    <w:rsid w:val="00EB048A"/>
    <w:rsid w:val="00EB077B"/>
    <w:rsid w:val="00EB0C85"/>
    <w:rsid w:val="00EB390A"/>
    <w:rsid w:val="00EB4EA2"/>
    <w:rsid w:val="00EB59A2"/>
    <w:rsid w:val="00EB79C9"/>
    <w:rsid w:val="00EC27C6"/>
    <w:rsid w:val="00EC3CD9"/>
    <w:rsid w:val="00EC4207"/>
    <w:rsid w:val="00EC5653"/>
    <w:rsid w:val="00EC5C69"/>
    <w:rsid w:val="00EC61E8"/>
    <w:rsid w:val="00EC6DA5"/>
    <w:rsid w:val="00EC71CE"/>
    <w:rsid w:val="00ED054C"/>
    <w:rsid w:val="00ED1006"/>
    <w:rsid w:val="00ED17EC"/>
    <w:rsid w:val="00ED6FF7"/>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1B32"/>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2BB3"/>
    <w:rsid w:val="00FB36B6"/>
    <w:rsid w:val="00FB4C80"/>
    <w:rsid w:val="00FB528C"/>
    <w:rsid w:val="00FB52F6"/>
    <w:rsid w:val="00FB6A6A"/>
    <w:rsid w:val="00FC677A"/>
    <w:rsid w:val="00FC7429"/>
    <w:rsid w:val="00FD046E"/>
    <w:rsid w:val="00FD07F6"/>
    <w:rsid w:val="00FD1EC8"/>
    <w:rsid w:val="00FD23CA"/>
    <w:rsid w:val="00FD286B"/>
    <w:rsid w:val="00FD47ED"/>
    <w:rsid w:val="00FD61E8"/>
    <w:rsid w:val="00FD74DB"/>
    <w:rsid w:val="00FD7660"/>
    <w:rsid w:val="00FE0655"/>
    <w:rsid w:val="00FE2365"/>
    <w:rsid w:val="00FE4C7B"/>
    <w:rsid w:val="00FE7336"/>
    <w:rsid w:val="00FE787C"/>
    <w:rsid w:val="00FE7B0C"/>
    <w:rsid w:val="00FF40FF"/>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1981"/>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2101375">
      <w:bodyDiv w:val="1"/>
      <w:marLeft w:val="0"/>
      <w:marRight w:val="0"/>
      <w:marTop w:val="0"/>
      <w:marBottom w:val="0"/>
      <w:divBdr>
        <w:top w:val="none" w:sz="0" w:space="0" w:color="auto"/>
        <w:left w:val="none" w:sz="0" w:space="0" w:color="auto"/>
        <w:bottom w:val="none" w:sz="0" w:space="0" w:color="auto"/>
        <w:right w:val="none" w:sz="0" w:space="0" w:color="auto"/>
      </w:divBdr>
      <w:divsChild>
        <w:div w:id="1967080918">
          <w:marLeft w:val="547"/>
          <w:marRight w:val="0"/>
          <w:marTop w:val="120"/>
          <w:marBottom w:val="0"/>
          <w:divBdr>
            <w:top w:val="none" w:sz="0" w:space="0" w:color="auto"/>
            <w:left w:val="none" w:sz="0" w:space="0" w:color="auto"/>
            <w:bottom w:val="none" w:sz="0" w:space="0" w:color="auto"/>
            <w:right w:val="none" w:sz="0" w:space="0" w:color="auto"/>
          </w:divBdr>
        </w:div>
        <w:div w:id="1966890169">
          <w:marLeft w:val="1166"/>
          <w:marRight w:val="0"/>
          <w:marTop w:val="106"/>
          <w:marBottom w:val="0"/>
          <w:divBdr>
            <w:top w:val="none" w:sz="0" w:space="0" w:color="auto"/>
            <w:left w:val="none" w:sz="0" w:space="0" w:color="auto"/>
            <w:bottom w:val="none" w:sz="0" w:space="0" w:color="auto"/>
            <w:right w:val="none" w:sz="0" w:space="0" w:color="auto"/>
          </w:divBdr>
        </w:div>
        <w:div w:id="1298026232">
          <w:marLeft w:val="1166"/>
          <w:marRight w:val="0"/>
          <w:marTop w:val="106"/>
          <w:marBottom w:val="0"/>
          <w:divBdr>
            <w:top w:val="none" w:sz="0" w:space="0" w:color="auto"/>
            <w:left w:val="none" w:sz="0" w:space="0" w:color="auto"/>
            <w:bottom w:val="none" w:sz="0" w:space="0" w:color="auto"/>
            <w:right w:val="none" w:sz="0" w:space="0" w:color="auto"/>
          </w:divBdr>
        </w:div>
        <w:div w:id="760175996">
          <w:marLeft w:val="547"/>
          <w:marRight w:val="0"/>
          <w:marTop w:val="120"/>
          <w:marBottom w:val="0"/>
          <w:divBdr>
            <w:top w:val="none" w:sz="0" w:space="0" w:color="auto"/>
            <w:left w:val="none" w:sz="0" w:space="0" w:color="auto"/>
            <w:bottom w:val="none" w:sz="0" w:space="0" w:color="auto"/>
            <w:right w:val="none" w:sz="0" w:space="0" w:color="auto"/>
          </w:divBdr>
        </w:div>
        <w:div w:id="1669365307">
          <w:marLeft w:val="547"/>
          <w:marRight w:val="0"/>
          <w:marTop w:val="120"/>
          <w:marBottom w:val="0"/>
          <w:divBdr>
            <w:top w:val="none" w:sz="0" w:space="0" w:color="auto"/>
            <w:left w:val="none" w:sz="0" w:space="0" w:color="auto"/>
            <w:bottom w:val="none" w:sz="0" w:space="0" w:color="auto"/>
            <w:right w:val="none" w:sz="0" w:space="0" w:color="auto"/>
          </w:divBdr>
        </w:div>
        <w:div w:id="489489386">
          <w:marLeft w:val="1166"/>
          <w:marRight w:val="0"/>
          <w:marTop w:val="106"/>
          <w:marBottom w:val="0"/>
          <w:divBdr>
            <w:top w:val="none" w:sz="0" w:space="0" w:color="auto"/>
            <w:left w:val="none" w:sz="0" w:space="0" w:color="auto"/>
            <w:bottom w:val="none" w:sz="0" w:space="0" w:color="auto"/>
            <w:right w:val="none" w:sz="0" w:space="0" w:color="auto"/>
          </w:divBdr>
        </w:div>
        <w:div w:id="445199311">
          <w:marLeft w:val="547"/>
          <w:marRight w:val="0"/>
          <w:marTop w:val="120"/>
          <w:marBottom w:val="0"/>
          <w:divBdr>
            <w:top w:val="none" w:sz="0" w:space="0" w:color="auto"/>
            <w:left w:val="none" w:sz="0" w:space="0" w:color="auto"/>
            <w:bottom w:val="none" w:sz="0" w:space="0" w:color="auto"/>
            <w:right w:val="none" w:sz="0" w:space="0" w:color="auto"/>
          </w:divBdr>
        </w:div>
      </w:divsChild>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44450398">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6699397">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9356697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157DC-E0DC-4D5B-B17B-6EF15A19D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2</Pages>
  <Words>896</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2</cp:revision>
  <cp:lastPrinted>2008-01-31T07:09:00Z</cp:lastPrinted>
  <dcterms:created xsi:type="dcterms:W3CDTF">2017-09-11T19:53:00Z</dcterms:created>
  <dcterms:modified xsi:type="dcterms:W3CDTF">2017-09-11T19:53:00Z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